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3AD" w:rsidRDefault="00A273AD">
      <w:bookmarkStart w:id="0" w:name="_GoBack"/>
      <w:bookmarkEnd w:id="0"/>
    </w:p>
    <w:p w:rsidR="006D3BD9" w:rsidRPr="006D3BD9" w:rsidRDefault="00581640" w:rsidP="006D3BD9">
      <w:pPr>
        <w:jc w:val="center"/>
        <w:rPr>
          <w:rFonts w:asciiTheme="majorHAnsi" w:hAnsiTheme="majorHAnsi"/>
          <w:b/>
          <w:sz w:val="44"/>
          <w:szCs w:val="44"/>
        </w:rPr>
      </w:pPr>
      <w:r>
        <w:rPr>
          <w:rFonts w:asciiTheme="majorHAnsi" w:hAnsiTheme="majorHAnsi"/>
          <w:b/>
          <w:sz w:val="44"/>
          <w:szCs w:val="44"/>
        </w:rPr>
        <w:t>PROCES-VERBAL</w:t>
      </w:r>
    </w:p>
    <w:p w:rsidR="00616F40" w:rsidRPr="00B04E86" w:rsidRDefault="00581640" w:rsidP="00B04E86">
      <w:pPr>
        <w:jc w:val="center"/>
        <w:rPr>
          <w:sz w:val="24"/>
          <w:szCs w:val="24"/>
        </w:rPr>
      </w:pPr>
      <w:r>
        <w:rPr>
          <w:sz w:val="24"/>
          <w:szCs w:val="24"/>
        </w:rPr>
        <w:t xml:space="preserve">REUNION DU </w:t>
      </w:r>
      <w:r w:rsidR="002055D5">
        <w:rPr>
          <w:sz w:val="24"/>
          <w:szCs w:val="24"/>
        </w:rPr>
        <w:t>29 JUIN 2015</w:t>
      </w:r>
    </w:p>
    <w:p w:rsidR="00F90025" w:rsidRDefault="00F90025"/>
    <w:p w:rsidR="00581640" w:rsidRPr="0090250E" w:rsidRDefault="00581640" w:rsidP="00581640">
      <w:pPr>
        <w:jc w:val="both"/>
        <w:rPr>
          <w:rFonts w:ascii="Arial" w:hAnsi="Arial" w:cs="Arial"/>
          <w:sz w:val="20"/>
          <w:szCs w:val="20"/>
        </w:rPr>
      </w:pPr>
      <w:r w:rsidRPr="0090250E">
        <w:rPr>
          <w:rFonts w:ascii="Arial" w:hAnsi="Arial" w:cs="Arial"/>
          <w:sz w:val="20"/>
          <w:szCs w:val="20"/>
        </w:rPr>
        <w:t xml:space="preserve">Le </w:t>
      </w:r>
      <w:r w:rsidR="002055D5">
        <w:rPr>
          <w:rFonts w:ascii="Arial" w:hAnsi="Arial" w:cs="Arial"/>
          <w:sz w:val="20"/>
          <w:szCs w:val="20"/>
        </w:rPr>
        <w:t>29 juin 2015 à 9</w:t>
      </w:r>
      <w:r w:rsidRPr="00581640">
        <w:rPr>
          <w:rFonts w:ascii="Arial" w:hAnsi="Arial" w:cs="Arial"/>
          <w:sz w:val="20"/>
          <w:szCs w:val="20"/>
        </w:rPr>
        <w:t>h</w:t>
      </w:r>
      <w:r w:rsidR="002055D5">
        <w:rPr>
          <w:rFonts w:ascii="Arial" w:hAnsi="Arial" w:cs="Arial"/>
          <w:sz w:val="20"/>
          <w:szCs w:val="20"/>
        </w:rPr>
        <w:t>30</w:t>
      </w:r>
      <w:r>
        <w:rPr>
          <w:rFonts w:ascii="Arial" w:hAnsi="Arial" w:cs="Arial"/>
          <w:sz w:val="20"/>
          <w:szCs w:val="20"/>
        </w:rPr>
        <w:t>, à l’Hôtel de Région,</w:t>
      </w:r>
      <w:r w:rsidRPr="0090250E">
        <w:rPr>
          <w:rFonts w:ascii="Arial" w:hAnsi="Arial" w:cs="Arial"/>
          <w:sz w:val="20"/>
          <w:szCs w:val="20"/>
        </w:rPr>
        <w:t xml:space="preserve"> </w:t>
      </w:r>
      <w:r>
        <w:rPr>
          <w:rFonts w:ascii="Arial" w:hAnsi="Arial" w:cs="Arial"/>
          <w:sz w:val="20"/>
          <w:szCs w:val="20"/>
        </w:rPr>
        <w:t>s’est réunie l</w:t>
      </w:r>
      <w:r w:rsidR="002055D5">
        <w:rPr>
          <w:rFonts w:ascii="Arial" w:hAnsi="Arial" w:cs="Arial"/>
          <w:sz w:val="20"/>
          <w:szCs w:val="20"/>
        </w:rPr>
        <w:t>’</w:t>
      </w:r>
      <w:r>
        <w:rPr>
          <w:rFonts w:ascii="Arial" w:hAnsi="Arial" w:cs="Arial"/>
          <w:sz w:val="20"/>
          <w:szCs w:val="20"/>
        </w:rPr>
        <w:t>Assemblée pour une Gouvernance Opérationnelle de la Ressource en eau et des Aquifères (AGORA) de Provence-Alpes-Côte d’Azur sur convocation du Président de Région, Michel VAUZELLE</w:t>
      </w:r>
      <w:r w:rsidR="008E6AA8">
        <w:rPr>
          <w:rFonts w:ascii="Arial" w:hAnsi="Arial" w:cs="Arial"/>
          <w:sz w:val="20"/>
          <w:szCs w:val="20"/>
        </w:rPr>
        <w:t xml:space="preserve"> et de la Présidente de l’AGORA, Elsa DI MEO</w:t>
      </w:r>
      <w:r>
        <w:rPr>
          <w:rFonts w:ascii="Arial" w:hAnsi="Arial" w:cs="Arial"/>
          <w:sz w:val="20"/>
          <w:szCs w:val="20"/>
        </w:rPr>
        <w:t>.</w:t>
      </w:r>
      <w:r w:rsidRPr="0090250E">
        <w:rPr>
          <w:rFonts w:ascii="Arial" w:hAnsi="Arial" w:cs="Arial"/>
          <w:sz w:val="20"/>
          <w:szCs w:val="20"/>
        </w:rPr>
        <w:t xml:space="preserve"> </w:t>
      </w:r>
    </w:p>
    <w:p w:rsidR="00581640" w:rsidRPr="0090250E" w:rsidRDefault="00581640" w:rsidP="00581640">
      <w:pPr>
        <w:jc w:val="both"/>
        <w:rPr>
          <w:rFonts w:ascii="Arial" w:hAnsi="Arial" w:cs="Arial"/>
          <w:sz w:val="20"/>
          <w:szCs w:val="20"/>
        </w:rPr>
      </w:pPr>
    </w:p>
    <w:p w:rsidR="000C4032" w:rsidRPr="008E6AA8" w:rsidRDefault="00E773A1" w:rsidP="00581640">
      <w:pPr>
        <w:jc w:val="both"/>
        <w:rPr>
          <w:rFonts w:ascii="Arial" w:hAnsi="Arial" w:cs="Arial"/>
          <w:sz w:val="20"/>
          <w:szCs w:val="20"/>
        </w:rPr>
      </w:pPr>
      <w:r w:rsidRPr="008E6AA8">
        <w:rPr>
          <w:rFonts w:ascii="Arial" w:hAnsi="Arial" w:cs="Arial"/>
          <w:sz w:val="20"/>
          <w:szCs w:val="20"/>
        </w:rPr>
        <w:t>L</w:t>
      </w:r>
      <w:r w:rsidR="008E6AA8">
        <w:rPr>
          <w:rFonts w:ascii="Arial" w:hAnsi="Arial" w:cs="Arial"/>
          <w:sz w:val="20"/>
          <w:szCs w:val="20"/>
        </w:rPr>
        <w:t>a</w:t>
      </w:r>
      <w:r w:rsidRPr="008E6AA8">
        <w:rPr>
          <w:rFonts w:ascii="Arial" w:hAnsi="Arial" w:cs="Arial"/>
          <w:sz w:val="20"/>
          <w:szCs w:val="20"/>
        </w:rPr>
        <w:t xml:space="preserve"> Président</w:t>
      </w:r>
      <w:r w:rsidR="008E6AA8">
        <w:rPr>
          <w:rFonts w:ascii="Arial" w:hAnsi="Arial" w:cs="Arial"/>
          <w:sz w:val="20"/>
          <w:szCs w:val="20"/>
        </w:rPr>
        <w:t>e Elsa DI MEO</w:t>
      </w:r>
      <w:r w:rsidRPr="008E6AA8">
        <w:rPr>
          <w:rFonts w:ascii="Arial" w:hAnsi="Arial" w:cs="Arial"/>
          <w:sz w:val="20"/>
          <w:szCs w:val="20"/>
        </w:rPr>
        <w:t xml:space="preserve"> assure l’ouverture de cette assemblée</w:t>
      </w:r>
      <w:r w:rsidR="000C4032" w:rsidRPr="008E6AA8">
        <w:rPr>
          <w:rFonts w:ascii="Arial" w:hAnsi="Arial" w:cs="Arial"/>
          <w:sz w:val="20"/>
          <w:szCs w:val="20"/>
        </w:rPr>
        <w:t xml:space="preserve"> et introduit la séance.</w:t>
      </w:r>
      <w:r w:rsidR="008E6AA8">
        <w:rPr>
          <w:rFonts w:ascii="Arial" w:hAnsi="Arial" w:cs="Arial"/>
          <w:sz w:val="20"/>
          <w:szCs w:val="20"/>
        </w:rPr>
        <w:t xml:space="preserve"> Madame DI MEO souligne l</w:t>
      </w:r>
      <w:r w:rsidR="00E31899">
        <w:rPr>
          <w:rFonts w:ascii="Arial" w:hAnsi="Arial" w:cs="Arial"/>
          <w:sz w:val="20"/>
          <w:szCs w:val="20"/>
        </w:rPr>
        <w:t>a</w:t>
      </w:r>
      <w:r w:rsidR="008E6AA8">
        <w:rPr>
          <w:rFonts w:ascii="Arial" w:hAnsi="Arial" w:cs="Arial"/>
          <w:sz w:val="20"/>
          <w:szCs w:val="20"/>
        </w:rPr>
        <w:t xml:space="preserve"> </w:t>
      </w:r>
      <w:r w:rsidR="00E31899">
        <w:rPr>
          <w:rFonts w:ascii="Arial" w:hAnsi="Arial" w:cs="Arial"/>
          <w:sz w:val="20"/>
          <w:szCs w:val="20"/>
        </w:rPr>
        <w:t>volonté affichée</w:t>
      </w:r>
      <w:r w:rsidR="008E6AA8">
        <w:rPr>
          <w:rFonts w:ascii="Arial" w:hAnsi="Arial" w:cs="Arial"/>
          <w:sz w:val="20"/>
          <w:szCs w:val="20"/>
        </w:rPr>
        <w:t xml:space="preserve"> de la Région de poursuivre la démarche du SOURSE en en indiquant </w:t>
      </w:r>
      <w:r w:rsidR="002C4568">
        <w:rPr>
          <w:rFonts w:ascii="Arial" w:hAnsi="Arial" w:cs="Arial"/>
          <w:sz w:val="20"/>
          <w:szCs w:val="20"/>
        </w:rPr>
        <w:t xml:space="preserve">notamment </w:t>
      </w:r>
      <w:r w:rsidR="008E6AA8">
        <w:rPr>
          <w:rFonts w:ascii="Arial" w:hAnsi="Arial" w:cs="Arial"/>
          <w:sz w:val="20"/>
          <w:szCs w:val="20"/>
        </w:rPr>
        <w:t xml:space="preserve">l’inscription </w:t>
      </w:r>
      <w:r w:rsidR="002C4568">
        <w:rPr>
          <w:rFonts w:ascii="Arial" w:hAnsi="Arial" w:cs="Arial"/>
          <w:sz w:val="20"/>
          <w:szCs w:val="20"/>
        </w:rPr>
        <w:t>au Contrat de P</w:t>
      </w:r>
      <w:r w:rsidR="008E6AA8">
        <w:rPr>
          <w:rFonts w:ascii="Arial" w:hAnsi="Arial" w:cs="Arial"/>
          <w:sz w:val="20"/>
          <w:szCs w:val="20"/>
        </w:rPr>
        <w:t xml:space="preserve">lan Etat-Région </w:t>
      </w:r>
      <w:r w:rsidR="002C4568">
        <w:rPr>
          <w:rFonts w:ascii="Arial" w:hAnsi="Arial" w:cs="Arial"/>
          <w:sz w:val="20"/>
          <w:szCs w:val="20"/>
        </w:rPr>
        <w:t xml:space="preserve">2015-2020 </w:t>
      </w:r>
      <w:r w:rsidR="008E6AA8">
        <w:rPr>
          <w:rFonts w:ascii="Arial" w:hAnsi="Arial" w:cs="Arial"/>
          <w:sz w:val="20"/>
          <w:szCs w:val="20"/>
        </w:rPr>
        <w:t>et rappelle l’objectif pour l’AGORA de construire le programme opérationnel régional pour la mise en œuvre du SOURSE.</w:t>
      </w:r>
    </w:p>
    <w:p w:rsidR="000C4032" w:rsidRPr="008E6AA8" w:rsidRDefault="000C4032" w:rsidP="00581640">
      <w:pPr>
        <w:jc w:val="both"/>
        <w:rPr>
          <w:rFonts w:ascii="Arial" w:hAnsi="Arial" w:cs="Arial"/>
          <w:sz w:val="20"/>
          <w:szCs w:val="20"/>
        </w:rPr>
      </w:pPr>
      <w:r w:rsidRPr="008E6AA8">
        <w:rPr>
          <w:rFonts w:ascii="Arial" w:hAnsi="Arial" w:cs="Arial"/>
          <w:sz w:val="20"/>
          <w:szCs w:val="20"/>
        </w:rPr>
        <w:t>L</w:t>
      </w:r>
      <w:r w:rsidR="008E6AA8" w:rsidRPr="008E6AA8">
        <w:rPr>
          <w:rFonts w:ascii="Arial" w:hAnsi="Arial" w:cs="Arial"/>
          <w:sz w:val="20"/>
          <w:szCs w:val="20"/>
        </w:rPr>
        <w:t>e</w:t>
      </w:r>
      <w:r w:rsidR="008E6AA8">
        <w:rPr>
          <w:rFonts w:ascii="Arial" w:hAnsi="Arial" w:cs="Arial"/>
          <w:sz w:val="20"/>
          <w:szCs w:val="20"/>
        </w:rPr>
        <w:t xml:space="preserve"> Secrétaire Général</w:t>
      </w:r>
      <w:r w:rsidR="00A4319E" w:rsidRPr="008E6AA8">
        <w:rPr>
          <w:rFonts w:ascii="Arial" w:hAnsi="Arial" w:cs="Arial"/>
          <w:sz w:val="20"/>
          <w:szCs w:val="20"/>
        </w:rPr>
        <w:t xml:space="preserve"> </w:t>
      </w:r>
      <w:r w:rsidRPr="008E6AA8">
        <w:rPr>
          <w:rFonts w:ascii="Arial" w:hAnsi="Arial" w:cs="Arial"/>
          <w:sz w:val="20"/>
          <w:szCs w:val="20"/>
        </w:rPr>
        <w:t xml:space="preserve">aux Affaires Régionales, </w:t>
      </w:r>
      <w:r w:rsidR="008E6AA8">
        <w:rPr>
          <w:rFonts w:ascii="Arial" w:hAnsi="Arial" w:cs="Arial"/>
          <w:sz w:val="20"/>
          <w:szCs w:val="20"/>
        </w:rPr>
        <w:t>Monsieur Thierry QUEFFELEC</w:t>
      </w:r>
      <w:r w:rsidR="00A4319E" w:rsidRPr="008E6AA8">
        <w:rPr>
          <w:rFonts w:ascii="Arial" w:hAnsi="Arial" w:cs="Arial"/>
          <w:sz w:val="20"/>
          <w:szCs w:val="20"/>
        </w:rPr>
        <w:t>,</w:t>
      </w:r>
      <w:r w:rsidR="003E315A" w:rsidRPr="008E6AA8">
        <w:rPr>
          <w:rFonts w:ascii="Arial" w:hAnsi="Arial" w:cs="Arial"/>
          <w:sz w:val="20"/>
          <w:szCs w:val="20"/>
        </w:rPr>
        <w:t xml:space="preserve"> prononce </w:t>
      </w:r>
      <w:r w:rsidR="0069628F">
        <w:rPr>
          <w:rFonts w:ascii="Arial" w:hAnsi="Arial" w:cs="Arial"/>
          <w:sz w:val="20"/>
          <w:szCs w:val="20"/>
        </w:rPr>
        <w:t>une</w:t>
      </w:r>
      <w:r w:rsidR="003E315A" w:rsidRPr="008E6AA8">
        <w:rPr>
          <w:rFonts w:ascii="Arial" w:hAnsi="Arial" w:cs="Arial"/>
          <w:sz w:val="20"/>
          <w:szCs w:val="20"/>
        </w:rPr>
        <w:t xml:space="preserve"> allocution d’ouverture pour confirmer l’appui de l’Etat à la mise en œuvre de l’AGORA</w:t>
      </w:r>
      <w:r w:rsidR="0069628F">
        <w:rPr>
          <w:rFonts w:ascii="Arial" w:hAnsi="Arial" w:cs="Arial"/>
          <w:sz w:val="20"/>
          <w:szCs w:val="20"/>
        </w:rPr>
        <w:t xml:space="preserve"> et rappeler la riche actualité dans laquelle les travaux de l’AGORA </w:t>
      </w:r>
      <w:r w:rsidR="00E31899">
        <w:rPr>
          <w:rFonts w:ascii="Arial" w:hAnsi="Arial" w:cs="Arial"/>
          <w:sz w:val="20"/>
          <w:szCs w:val="20"/>
        </w:rPr>
        <w:t xml:space="preserve">s’inscrivent </w:t>
      </w:r>
      <w:r w:rsidR="0069628F">
        <w:rPr>
          <w:rFonts w:ascii="Arial" w:hAnsi="Arial" w:cs="Arial"/>
          <w:sz w:val="20"/>
          <w:szCs w:val="20"/>
        </w:rPr>
        <w:t>avec le chantier du SDA</w:t>
      </w:r>
      <w:r w:rsidR="00E31899">
        <w:rPr>
          <w:rFonts w:ascii="Arial" w:hAnsi="Arial" w:cs="Arial"/>
          <w:sz w:val="20"/>
          <w:szCs w:val="20"/>
        </w:rPr>
        <w:t>G</w:t>
      </w:r>
      <w:r w:rsidR="0069628F">
        <w:rPr>
          <w:rFonts w:ascii="Arial" w:hAnsi="Arial" w:cs="Arial"/>
          <w:sz w:val="20"/>
          <w:szCs w:val="20"/>
        </w:rPr>
        <w:t>E et d</w:t>
      </w:r>
      <w:r w:rsidR="00E31899">
        <w:rPr>
          <w:rFonts w:ascii="Arial" w:hAnsi="Arial" w:cs="Arial"/>
          <w:sz w:val="20"/>
          <w:szCs w:val="20"/>
        </w:rPr>
        <w:t>u</w:t>
      </w:r>
      <w:r w:rsidR="0069628F">
        <w:rPr>
          <w:rFonts w:ascii="Arial" w:hAnsi="Arial" w:cs="Arial"/>
          <w:sz w:val="20"/>
          <w:szCs w:val="20"/>
        </w:rPr>
        <w:t xml:space="preserve"> PGRI, la mise en œuvre de la nouvelle compétence GEMAPI</w:t>
      </w:r>
      <w:r w:rsidR="002C4568">
        <w:rPr>
          <w:rFonts w:ascii="Arial" w:hAnsi="Arial" w:cs="Arial"/>
          <w:sz w:val="20"/>
          <w:szCs w:val="20"/>
        </w:rPr>
        <w:t>, les travaux de préparation de la loi NOTRe</w:t>
      </w:r>
      <w:r w:rsidR="0069628F">
        <w:rPr>
          <w:rFonts w:ascii="Arial" w:hAnsi="Arial" w:cs="Arial"/>
          <w:sz w:val="20"/>
          <w:szCs w:val="20"/>
        </w:rPr>
        <w:t xml:space="preserve"> et la naissance de l’Agence Française pour la Biodiversité, nouvel acteur de la politique de l’eau et de la biodiversité</w:t>
      </w:r>
      <w:r w:rsidR="003E315A" w:rsidRPr="008E6AA8">
        <w:rPr>
          <w:rFonts w:ascii="Arial" w:hAnsi="Arial" w:cs="Arial"/>
          <w:sz w:val="20"/>
          <w:szCs w:val="20"/>
        </w:rPr>
        <w:t>.</w:t>
      </w:r>
    </w:p>
    <w:p w:rsidR="00581640" w:rsidRPr="002B1A7A" w:rsidRDefault="00E95C8A" w:rsidP="00581640">
      <w:pPr>
        <w:jc w:val="both"/>
        <w:rPr>
          <w:rFonts w:ascii="Arial" w:hAnsi="Arial" w:cs="Arial"/>
          <w:sz w:val="20"/>
          <w:szCs w:val="20"/>
        </w:rPr>
      </w:pPr>
      <w:r>
        <w:rPr>
          <w:rFonts w:ascii="Arial" w:hAnsi="Arial" w:cs="Arial"/>
          <w:sz w:val="20"/>
          <w:szCs w:val="20"/>
        </w:rPr>
        <w:t>Le quorum étant att</w:t>
      </w:r>
      <w:r w:rsidR="002B1A7A" w:rsidRPr="002B1A7A">
        <w:rPr>
          <w:rFonts w:ascii="Arial" w:hAnsi="Arial" w:cs="Arial"/>
          <w:sz w:val="20"/>
          <w:szCs w:val="20"/>
        </w:rPr>
        <w:t>e</w:t>
      </w:r>
      <w:r>
        <w:rPr>
          <w:rFonts w:ascii="Arial" w:hAnsi="Arial" w:cs="Arial"/>
          <w:sz w:val="20"/>
          <w:szCs w:val="20"/>
        </w:rPr>
        <w:t>i</w:t>
      </w:r>
      <w:r w:rsidR="002B1A7A" w:rsidRPr="002B1A7A">
        <w:rPr>
          <w:rFonts w:ascii="Arial" w:hAnsi="Arial" w:cs="Arial"/>
          <w:sz w:val="20"/>
          <w:szCs w:val="20"/>
        </w:rPr>
        <w:t>nt (52 membres</w:t>
      </w:r>
      <w:r w:rsidR="002B1A7A">
        <w:rPr>
          <w:rFonts w:ascii="Arial" w:hAnsi="Arial" w:cs="Arial"/>
          <w:sz w:val="20"/>
          <w:szCs w:val="20"/>
        </w:rPr>
        <w:t xml:space="preserve"> présents), l’assemblée peut délibérer valablement.</w:t>
      </w:r>
    </w:p>
    <w:p w:rsidR="00581640" w:rsidRPr="00643CEC" w:rsidRDefault="00137A88" w:rsidP="00581640">
      <w:pPr>
        <w:jc w:val="both"/>
        <w:rPr>
          <w:rFonts w:ascii="Arial" w:hAnsi="Arial" w:cs="Arial"/>
          <w:sz w:val="20"/>
          <w:szCs w:val="20"/>
        </w:rPr>
      </w:pPr>
      <w:r w:rsidRPr="00643CEC">
        <w:rPr>
          <w:rFonts w:ascii="Arial" w:hAnsi="Arial" w:cs="Arial"/>
          <w:sz w:val="20"/>
          <w:szCs w:val="20"/>
        </w:rPr>
        <w:t>L</w:t>
      </w:r>
      <w:r w:rsidR="002B1A7A" w:rsidRPr="00643CEC">
        <w:rPr>
          <w:rFonts w:ascii="Arial" w:hAnsi="Arial" w:cs="Arial"/>
          <w:sz w:val="20"/>
          <w:szCs w:val="20"/>
        </w:rPr>
        <w:t>a</w:t>
      </w:r>
      <w:r w:rsidRPr="00643CEC">
        <w:rPr>
          <w:rFonts w:ascii="Arial" w:hAnsi="Arial" w:cs="Arial"/>
          <w:sz w:val="20"/>
          <w:szCs w:val="20"/>
        </w:rPr>
        <w:t xml:space="preserve"> Président</w:t>
      </w:r>
      <w:r w:rsidR="002B1A7A" w:rsidRPr="00643CEC">
        <w:rPr>
          <w:rFonts w:ascii="Arial" w:hAnsi="Arial" w:cs="Arial"/>
          <w:sz w:val="20"/>
          <w:szCs w:val="20"/>
        </w:rPr>
        <w:t>e</w:t>
      </w:r>
      <w:r w:rsidRPr="00643CEC">
        <w:rPr>
          <w:rFonts w:ascii="Arial" w:hAnsi="Arial" w:cs="Arial"/>
          <w:sz w:val="20"/>
          <w:szCs w:val="20"/>
        </w:rPr>
        <w:t xml:space="preserve"> rappelle</w:t>
      </w:r>
      <w:r w:rsidR="00581640" w:rsidRPr="00643CEC">
        <w:rPr>
          <w:rFonts w:ascii="Arial" w:hAnsi="Arial" w:cs="Arial"/>
          <w:sz w:val="20"/>
          <w:szCs w:val="20"/>
        </w:rPr>
        <w:t xml:space="preserve"> l’ordre du jour</w:t>
      </w:r>
      <w:r w:rsidR="002B1A7A" w:rsidRPr="00643CEC">
        <w:rPr>
          <w:rFonts w:ascii="Arial" w:hAnsi="Arial" w:cs="Arial"/>
          <w:sz w:val="20"/>
          <w:szCs w:val="20"/>
        </w:rPr>
        <w:t xml:space="preserve"> </w:t>
      </w:r>
      <w:r w:rsidR="00581640" w:rsidRPr="00643CEC">
        <w:rPr>
          <w:rFonts w:ascii="Arial" w:hAnsi="Arial" w:cs="Arial"/>
          <w:sz w:val="20"/>
          <w:szCs w:val="20"/>
        </w:rPr>
        <w:t>:</w:t>
      </w:r>
    </w:p>
    <w:p w:rsidR="00581640" w:rsidRDefault="002B1A7A" w:rsidP="00953AF3">
      <w:pPr>
        <w:pStyle w:val="Paragraphedeliste"/>
        <w:numPr>
          <w:ilvl w:val="0"/>
          <w:numId w:val="3"/>
        </w:numPr>
        <w:spacing w:after="0" w:line="240" w:lineRule="auto"/>
        <w:ind w:left="851"/>
        <w:jc w:val="both"/>
        <w:rPr>
          <w:rFonts w:ascii="Arial" w:hAnsi="Arial" w:cs="Arial"/>
          <w:sz w:val="20"/>
          <w:szCs w:val="20"/>
        </w:rPr>
      </w:pPr>
      <w:r w:rsidRPr="00643CEC">
        <w:rPr>
          <w:rFonts w:ascii="Arial" w:hAnsi="Arial" w:cs="Arial"/>
          <w:sz w:val="20"/>
          <w:szCs w:val="20"/>
        </w:rPr>
        <w:t>Approbation du procès-verbal de la séance plénière du 8 décembre 2014</w:t>
      </w:r>
    </w:p>
    <w:p w:rsidR="000301D6" w:rsidRPr="000301D6" w:rsidRDefault="000301D6" w:rsidP="000301D6">
      <w:pPr>
        <w:pStyle w:val="Paragraphedeliste"/>
        <w:spacing w:after="0" w:line="240" w:lineRule="auto"/>
        <w:ind w:left="851"/>
        <w:jc w:val="both"/>
        <w:rPr>
          <w:rFonts w:ascii="Arial" w:hAnsi="Arial" w:cs="Arial"/>
          <w:sz w:val="10"/>
          <w:szCs w:val="10"/>
        </w:rPr>
      </w:pPr>
    </w:p>
    <w:p w:rsidR="002B1A7A" w:rsidRPr="00643CEC" w:rsidRDefault="00643CEC" w:rsidP="00953AF3">
      <w:pPr>
        <w:pStyle w:val="Paragraphedeliste"/>
        <w:numPr>
          <w:ilvl w:val="0"/>
          <w:numId w:val="3"/>
        </w:numPr>
        <w:spacing w:after="0" w:line="240" w:lineRule="auto"/>
        <w:ind w:left="850" w:hanging="357"/>
        <w:jc w:val="both"/>
        <w:rPr>
          <w:rFonts w:ascii="Arial" w:hAnsi="Arial" w:cs="Arial"/>
          <w:sz w:val="20"/>
          <w:szCs w:val="20"/>
        </w:rPr>
      </w:pPr>
      <w:r w:rsidRPr="00643CEC">
        <w:rPr>
          <w:rFonts w:ascii="Arial" w:hAnsi="Arial" w:cs="Arial"/>
          <w:sz w:val="20"/>
          <w:szCs w:val="20"/>
        </w:rPr>
        <w:t>Points d’information ne donnant pas lieu à délibération :</w:t>
      </w:r>
    </w:p>
    <w:p w:rsidR="00643CEC" w:rsidRDefault="00643CEC" w:rsidP="00953AF3">
      <w:pPr>
        <w:pStyle w:val="Paragraphedeliste"/>
        <w:numPr>
          <w:ilvl w:val="1"/>
          <w:numId w:val="3"/>
        </w:numPr>
        <w:spacing w:after="0" w:line="240" w:lineRule="auto"/>
        <w:ind w:left="1276"/>
        <w:jc w:val="both"/>
        <w:rPr>
          <w:rFonts w:ascii="Arial" w:hAnsi="Arial" w:cs="Arial"/>
          <w:sz w:val="20"/>
          <w:szCs w:val="20"/>
        </w:rPr>
      </w:pPr>
      <w:r w:rsidRPr="00643CEC">
        <w:rPr>
          <w:rFonts w:ascii="Arial" w:hAnsi="Arial" w:cs="Arial"/>
          <w:sz w:val="20"/>
          <w:szCs w:val="20"/>
        </w:rPr>
        <w:t>Présentation des stratégies régionales en déclinaison du SOURSE</w:t>
      </w:r>
    </w:p>
    <w:p w:rsidR="00643CEC" w:rsidRDefault="00643CEC" w:rsidP="00953AF3">
      <w:pPr>
        <w:pStyle w:val="Paragraphedeliste"/>
        <w:numPr>
          <w:ilvl w:val="1"/>
          <w:numId w:val="3"/>
        </w:numPr>
        <w:spacing w:after="0" w:line="240" w:lineRule="auto"/>
        <w:ind w:left="1276"/>
        <w:jc w:val="both"/>
        <w:rPr>
          <w:rFonts w:ascii="Arial" w:hAnsi="Arial" w:cs="Arial"/>
          <w:sz w:val="20"/>
          <w:szCs w:val="20"/>
        </w:rPr>
      </w:pPr>
      <w:r>
        <w:rPr>
          <w:rFonts w:ascii="Arial" w:hAnsi="Arial" w:cs="Arial"/>
          <w:sz w:val="20"/>
          <w:szCs w:val="20"/>
        </w:rPr>
        <w:t>La réforme territoriale et l’évolution législative en cours</w:t>
      </w:r>
    </w:p>
    <w:p w:rsidR="00643CEC" w:rsidRDefault="00643CEC" w:rsidP="00953AF3">
      <w:pPr>
        <w:pStyle w:val="Paragraphedeliste"/>
        <w:numPr>
          <w:ilvl w:val="1"/>
          <w:numId w:val="3"/>
        </w:numPr>
        <w:spacing w:after="0" w:line="240" w:lineRule="auto"/>
        <w:ind w:left="1276"/>
        <w:jc w:val="both"/>
        <w:rPr>
          <w:rFonts w:ascii="Arial" w:hAnsi="Arial" w:cs="Arial"/>
          <w:sz w:val="20"/>
          <w:szCs w:val="20"/>
        </w:rPr>
      </w:pPr>
      <w:r>
        <w:rPr>
          <w:rFonts w:ascii="Arial" w:hAnsi="Arial" w:cs="Arial"/>
          <w:sz w:val="20"/>
          <w:szCs w:val="20"/>
        </w:rPr>
        <w:t>Lancement de diverses études</w:t>
      </w:r>
    </w:p>
    <w:p w:rsidR="000301D6" w:rsidRPr="000301D6" w:rsidRDefault="000301D6" w:rsidP="000301D6">
      <w:pPr>
        <w:pStyle w:val="Paragraphedeliste"/>
        <w:spacing w:after="0" w:line="240" w:lineRule="auto"/>
        <w:ind w:left="1276"/>
        <w:jc w:val="both"/>
        <w:rPr>
          <w:rFonts w:ascii="Arial" w:hAnsi="Arial" w:cs="Arial"/>
          <w:sz w:val="10"/>
          <w:szCs w:val="10"/>
        </w:rPr>
      </w:pPr>
    </w:p>
    <w:p w:rsidR="00643CEC" w:rsidRDefault="00643CEC" w:rsidP="00953AF3">
      <w:pPr>
        <w:pStyle w:val="Paragraphedeliste"/>
        <w:numPr>
          <w:ilvl w:val="0"/>
          <w:numId w:val="3"/>
        </w:numPr>
        <w:spacing w:after="0" w:line="240" w:lineRule="auto"/>
        <w:ind w:left="851"/>
        <w:jc w:val="both"/>
        <w:rPr>
          <w:rFonts w:ascii="Arial" w:hAnsi="Arial" w:cs="Arial"/>
          <w:sz w:val="20"/>
          <w:szCs w:val="20"/>
        </w:rPr>
      </w:pPr>
      <w:r>
        <w:rPr>
          <w:rFonts w:ascii="Arial" w:hAnsi="Arial" w:cs="Arial"/>
          <w:sz w:val="20"/>
          <w:szCs w:val="20"/>
        </w:rPr>
        <w:t>Signatures officielles :</w:t>
      </w:r>
    </w:p>
    <w:p w:rsidR="00643CEC" w:rsidRDefault="00643CEC" w:rsidP="00953AF3">
      <w:pPr>
        <w:pStyle w:val="Paragraphedeliste"/>
        <w:numPr>
          <w:ilvl w:val="1"/>
          <w:numId w:val="3"/>
        </w:numPr>
        <w:spacing w:after="0" w:line="240" w:lineRule="auto"/>
        <w:ind w:left="1276"/>
        <w:jc w:val="both"/>
        <w:rPr>
          <w:rFonts w:ascii="Arial" w:hAnsi="Arial" w:cs="Arial"/>
          <w:sz w:val="20"/>
          <w:szCs w:val="20"/>
        </w:rPr>
      </w:pPr>
      <w:r>
        <w:rPr>
          <w:rFonts w:ascii="Arial" w:hAnsi="Arial" w:cs="Arial"/>
          <w:sz w:val="20"/>
          <w:szCs w:val="20"/>
        </w:rPr>
        <w:t>Convention entre la Région et le BRGM</w:t>
      </w:r>
    </w:p>
    <w:p w:rsidR="00643CEC" w:rsidRPr="00643CEC" w:rsidRDefault="00643CEC" w:rsidP="00953AF3">
      <w:pPr>
        <w:pStyle w:val="Paragraphedeliste"/>
        <w:numPr>
          <w:ilvl w:val="1"/>
          <w:numId w:val="3"/>
        </w:numPr>
        <w:spacing w:after="0" w:line="240" w:lineRule="auto"/>
        <w:ind w:left="1276"/>
        <w:jc w:val="both"/>
        <w:rPr>
          <w:rFonts w:ascii="Arial" w:hAnsi="Arial" w:cs="Arial"/>
          <w:sz w:val="20"/>
          <w:szCs w:val="20"/>
        </w:rPr>
      </w:pPr>
      <w:r>
        <w:rPr>
          <w:rFonts w:ascii="Arial" w:hAnsi="Arial" w:cs="Arial"/>
          <w:sz w:val="20"/>
          <w:szCs w:val="20"/>
        </w:rPr>
        <w:t>Convention entre la Société du Canal de Provence et le BRGM</w:t>
      </w:r>
    </w:p>
    <w:p w:rsidR="00643CEC" w:rsidRPr="00643CEC" w:rsidRDefault="00643CEC" w:rsidP="00643CEC">
      <w:pPr>
        <w:jc w:val="both"/>
        <w:rPr>
          <w:rFonts w:ascii="Arial" w:hAnsi="Arial" w:cs="Arial"/>
          <w:sz w:val="20"/>
          <w:szCs w:val="20"/>
        </w:rPr>
      </w:pPr>
    </w:p>
    <w:p w:rsidR="002B1A7A" w:rsidRPr="00643CEC" w:rsidRDefault="00643CEC" w:rsidP="00643CEC">
      <w:pPr>
        <w:pBdr>
          <w:bottom w:val="single" w:sz="4" w:space="1" w:color="auto"/>
        </w:pBdr>
        <w:jc w:val="both"/>
        <w:rPr>
          <w:rFonts w:ascii="Arial" w:hAnsi="Arial" w:cs="Arial"/>
          <w:sz w:val="20"/>
          <w:szCs w:val="20"/>
        </w:rPr>
      </w:pPr>
      <w:r w:rsidRPr="00643CEC">
        <w:rPr>
          <w:rFonts w:ascii="Arial" w:hAnsi="Arial" w:cs="Arial"/>
          <w:sz w:val="20"/>
          <w:szCs w:val="20"/>
        </w:rPr>
        <w:t>Procès-verbal de la séance du 8 décembre 2014</w:t>
      </w:r>
    </w:p>
    <w:p w:rsidR="00643CEC" w:rsidRDefault="002B1A7A" w:rsidP="000301D6">
      <w:pPr>
        <w:jc w:val="both"/>
        <w:rPr>
          <w:rFonts w:ascii="Arial" w:hAnsi="Arial" w:cs="Arial"/>
          <w:sz w:val="20"/>
          <w:szCs w:val="20"/>
        </w:rPr>
      </w:pPr>
      <w:r>
        <w:rPr>
          <w:rFonts w:ascii="Arial" w:hAnsi="Arial" w:cs="Arial"/>
          <w:sz w:val="20"/>
          <w:szCs w:val="20"/>
        </w:rPr>
        <w:t>La</w:t>
      </w:r>
      <w:r w:rsidR="00581640" w:rsidRPr="002B1A7A">
        <w:rPr>
          <w:rFonts w:ascii="Arial" w:hAnsi="Arial" w:cs="Arial"/>
          <w:sz w:val="20"/>
          <w:szCs w:val="20"/>
        </w:rPr>
        <w:t xml:space="preserve"> </w:t>
      </w:r>
      <w:r w:rsidR="00E773A1" w:rsidRPr="002B1A7A">
        <w:rPr>
          <w:rFonts w:ascii="Arial" w:hAnsi="Arial" w:cs="Arial"/>
          <w:sz w:val="20"/>
          <w:szCs w:val="20"/>
        </w:rPr>
        <w:t>P</w:t>
      </w:r>
      <w:r w:rsidR="00581640" w:rsidRPr="002B1A7A">
        <w:rPr>
          <w:rFonts w:ascii="Arial" w:hAnsi="Arial" w:cs="Arial"/>
          <w:sz w:val="20"/>
          <w:szCs w:val="20"/>
        </w:rPr>
        <w:t>résident</w:t>
      </w:r>
      <w:r>
        <w:rPr>
          <w:rFonts w:ascii="Arial" w:hAnsi="Arial" w:cs="Arial"/>
          <w:sz w:val="20"/>
          <w:szCs w:val="20"/>
        </w:rPr>
        <w:t>e demande si le procès-verbal de la séance du 8 décembre appelle des remarques. Aucune remarque n’étant formulée, la</w:t>
      </w:r>
      <w:r w:rsidR="00E773A1" w:rsidRPr="002B1A7A">
        <w:rPr>
          <w:rFonts w:ascii="Arial" w:hAnsi="Arial" w:cs="Arial"/>
          <w:sz w:val="20"/>
          <w:szCs w:val="20"/>
        </w:rPr>
        <w:t xml:space="preserve"> Président</w:t>
      </w:r>
      <w:r w:rsidRPr="002B1A7A">
        <w:rPr>
          <w:rFonts w:ascii="Arial" w:hAnsi="Arial" w:cs="Arial"/>
          <w:sz w:val="20"/>
          <w:szCs w:val="20"/>
        </w:rPr>
        <w:t>e</w:t>
      </w:r>
      <w:r w:rsidR="00E773A1" w:rsidRPr="002B1A7A">
        <w:rPr>
          <w:rFonts w:ascii="Arial" w:hAnsi="Arial" w:cs="Arial"/>
          <w:sz w:val="20"/>
          <w:szCs w:val="20"/>
        </w:rPr>
        <w:t xml:space="preserve"> </w:t>
      </w:r>
      <w:r>
        <w:rPr>
          <w:rFonts w:ascii="Arial" w:hAnsi="Arial" w:cs="Arial"/>
          <w:sz w:val="20"/>
          <w:szCs w:val="20"/>
        </w:rPr>
        <w:t>sou</w:t>
      </w:r>
      <w:r w:rsidR="00E773A1" w:rsidRPr="002B1A7A">
        <w:rPr>
          <w:rFonts w:ascii="Arial" w:hAnsi="Arial" w:cs="Arial"/>
          <w:sz w:val="20"/>
          <w:szCs w:val="20"/>
        </w:rPr>
        <w:t xml:space="preserve">met </w:t>
      </w:r>
      <w:r>
        <w:rPr>
          <w:rFonts w:ascii="Arial" w:hAnsi="Arial" w:cs="Arial"/>
          <w:sz w:val="20"/>
          <w:szCs w:val="20"/>
        </w:rPr>
        <w:t xml:space="preserve">au vote </w:t>
      </w:r>
      <w:r w:rsidR="00E773A1" w:rsidRPr="002B1A7A">
        <w:rPr>
          <w:rFonts w:ascii="Arial" w:hAnsi="Arial" w:cs="Arial"/>
          <w:sz w:val="20"/>
          <w:szCs w:val="20"/>
        </w:rPr>
        <w:t xml:space="preserve">le </w:t>
      </w:r>
      <w:r>
        <w:rPr>
          <w:rFonts w:ascii="Arial" w:hAnsi="Arial" w:cs="Arial"/>
          <w:sz w:val="20"/>
          <w:szCs w:val="20"/>
        </w:rPr>
        <w:t xml:space="preserve">procès-verbal de la séance du 8 décembre 2014 qui est approuvé à l’unanimité par la </w:t>
      </w:r>
      <w:r w:rsidRPr="00643CEC">
        <w:rPr>
          <w:rFonts w:ascii="Arial" w:hAnsi="Arial" w:cs="Arial"/>
          <w:b/>
          <w:sz w:val="20"/>
          <w:szCs w:val="20"/>
        </w:rPr>
        <w:t>délibération 15-01</w:t>
      </w:r>
      <w:r w:rsidR="00643CEC">
        <w:rPr>
          <w:rFonts w:ascii="Arial" w:hAnsi="Arial" w:cs="Arial"/>
          <w:sz w:val="20"/>
          <w:szCs w:val="20"/>
        </w:rPr>
        <w:t>.</w:t>
      </w:r>
    </w:p>
    <w:p w:rsidR="000301D6" w:rsidRPr="000301D6" w:rsidRDefault="000301D6" w:rsidP="000301D6">
      <w:pPr>
        <w:jc w:val="both"/>
        <w:rPr>
          <w:rFonts w:ascii="Arial" w:hAnsi="Arial" w:cs="Arial"/>
          <w:sz w:val="20"/>
          <w:szCs w:val="20"/>
        </w:rPr>
      </w:pPr>
    </w:p>
    <w:p w:rsidR="00643CEC" w:rsidRDefault="00643CEC" w:rsidP="00643CEC">
      <w:pPr>
        <w:pBdr>
          <w:bottom w:val="single" w:sz="4" w:space="1" w:color="auto"/>
        </w:pBdr>
        <w:jc w:val="both"/>
        <w:rPr>
          <w:rFonts w:ascii="Arial" w:hAnsi="Arial" w:cs="Arial"/>
          <w:sz w:val="20"/>
          <w:szCs w:val="20"/>
          <w:highlight w:val="yellow"/>
        </w:rPr>
      </w:pPr>
      <w:r w:rsidRPr="00643CEC">
        <w:rPr>
          <w:rFonts w:ascii="Arial" w:hAnsi="Arial" w:cs="Arial"/>
          <w:sz w:val="20"/>
          <w:szCs w:val="20"/>
        </w:rPr>
        <w:lastRenderedPageBreak/>
        <w:t>P</w:t>
      </w:r>
      <w:r w:rsidR="00A4259F">
        <w:rPr>
          <w:rFonts w:ascii="Arial" w:hAnsi="Arial" w:cs="Arial"/>
          <w:sz w:val="20"/>
          <w:szCs w:val="20"/>
        </w:rPr>
        <w:t>résent</w:t>
      </w:r>
      <w:r w:rsidRPr="00643CEC">
        <w:rPr>
          <w:rFonts w:ascii="Arial" w:hAnsi="Arial" w:cs="Arial"/>
          <w:sz w:val="20"/>
          <w:szCs w:val="20"/>
        </w:rPr>
        <w:t>ation des stratégies régionales en déclinaison du SOURSE</w:t>
      </w:r>
      <w:r w:rsidRPr="002055D5">
        <w:rPr>
          <w:rFonts w:ascii="Arial" w:hAnsi="Arial" w:cs="Arial"/>
          <w:sz w:val="20"/>
          <w:szCs w:val="20"/>
          <w:highlight w:val="yellow"/>
        </w:rPr>
        <w:t xml:space="preserve"> </w:t>
      </w:r>
    </w:p>
    <w:p w:rsidR="00643CEC" w:rsidRPr="0023292F" w:rsidRDefault="00643CEC" w:rsidP="009B0622">
      <w:pPr>
        <w:ind w:firstLine="708"/>
        <w:jc w:val="both"/>
        <w:rPr>
          <w:rFonts w:ascii="Arial" w:hAnsi="Arial" w:cs="Arial"/>
          <w:b/>
          <w:sz w:val="20"/>
          <w:szCs w:val="20"/>
        </w:rPr>
      </w:pPr>
      <w:r w:rsidRPr="0023292F">
        <w:rPr>
          <w:rFonts w:ascii="Arial" w:hAnsi="Arial" w:cs="Arial"/>
          <w:b/>
          <w:sz w:val="20"/>
          <w:szCs w:val="20"/>
        </w:rPr>
        <w:t>La stratégie régionale d’hydraulique agricole</w:t>
      </w:r>
    </w:p>
    <w:p w:rsidR="00643CEC" w:rsidRDefault="00643CEC" w:rsidP="00953AF3">
      <w:pPr>
        <w:shd w:val="clear" w:color="auto" w:fill="FFFFFF"/>
        <w:jc w:val="both"/>
        <w:outlineLvl w:val="2"/>
        <w:rPr>
          <w:rFonts w:ascii="Arial" w:hAnsi="Arial" w:cs="Arial"/>
          <w:sz w:val="20"/>
          <w:szCs w:val="20"/>
        </w:rPr>
      </w:pPr>
      <w:r>
        <w:rPr>
          <w:rFonts w:ascii="Arial" w:hAnsi="Arial" w:cs="Arial"/>
          <w:sz w:val="20"/>
          <w:szCs w:val="20"/>
        </w:rPr>
        <w:t xml:space="preserve">Introduction par Claude ROSSIGNOL, Président de la </w:t>
      </w:r>
      <w:r w:rsidRPr="00643CEC">
        <w:rPr>
          <w:rFonts w:ascii="Arial" w:hAnsi="Arial" w:cs="Arial"/>
          <w:sz w:val="20"/>
          <w:szCs w:val="20"/>
        </w:rPr>
        <w:t>Chambre régionale d'agriculture Provence-Alpes-Côte-d'Azur</w:t>
      </w:r>
      <w:r>
        <w:rPr>
          <w:rFonts w:ascii="Arial" w:hAnsi="Arial" w:cs="Arial"/>
          <w:sz w:val="20"/>
          <w:szCs w:val="20"/>
        </w:rPr>
        <w:t xml:space="preserve"> et présentation par Noël PITON, </w:t>
      </w:r>
      <w:r w:rsidR="0023292F">
        <w:rPr>
          <w:rFonts w:ascii="Arial" w:hAnsi="Arial" w:cs="Arial"/>
          <w:sz w:val="20"/>
          <w:szCs w:val="20"/>
        </w:rPr>
        <w:t>chargé de mission à la Chambre régionale d’agriculture.</w:t>
      </w:r>
    </w:p>
    <w:p w:rsidR="00643CEC" w:rsidRDefault="009A4EE3" w:rsidP="00953AF3">
      <w:pPr>
        <w:shd w:val="clear" w:color="auto" w:fill="FFFFFF"/>
        <w:jc w:val="both"/>
        <w:outlineLvl w:val="2"/>
        <w:rPr>
          <w:rFonts w:ascii="Arial" w:hAnsi="Arial" w:cs="Arial"/>
          <w:sz w:val="20"/>
          <w:szCs w:val="20"/>
        </w:rPr>
      </w:pPr>
      <w:r>
        <w:rPr>
          <w:rFonts w:ascii="Arial" w:hAnsi="Arial" w:cs="Arial"/>
          <w:sz w:val="20"/>
          <w:szCs w:val="20"/>
        </w:rPr>
        <w:t xml:space="preserve">Suite à la présentation, </w:t>
      </w:r>
      <w:r w:rsidR="0023292F">
        <w:rPr>
          <w:rFonts w:ascii="Arial" w:hAnsi="Arial" w:cs="Arial"/>
          <w:sz w:val="20"/>
          <w:szCs w:val="20"/>
        </w:rPr>
        <w:t>Monsieur ROSSIGNOL rappelle que la démarche de la stratégie régionale d’</w:t>
      </w:r>
      <w:r w:rsidR="002C4568">
        <w:rPr>
          <w:rFonts w:ascii="Arial" w:hAnsi="Arial" w:cs="Arial"/>
          <w:sz w:val="20"/>
          <w:szCs w:val="20"/>
        </w:rPr>
        <w:t>hydraulique agricol</w:t>
      </w:r>
      <w:r w:rsidR="0023292F">
        <w:rPr>
          <w:rFonts w:ascii="Arial" w:hAnsi="Arial" w:cs="Arial"/>
          <w:sz w:val="20"/>
          <w:szCs w:val="20"/>
        </w:rPr>
        <w:t>e est partenariale et ascendante, ca</w:t>
      </w:r>
      <w:r w:rsidR="002C4568">
        <w:rPr>
          <w:rFonts w:ascii="Arial" w:hAnsi="Arial" w:cs="Arial"/>
          <w:sz w:val="20"/>
          <w:szCs w:val="20"/>
        </w:rPr>
        <w:t>l</w:t>
      </w:r>
      <w:r w:rsidR="0023292F">
        <w:rPr>
          <w:rFonts w:ascii="Arial" w:hAnsi="Arial" w:cs="Arial"/>
          <w:sz w:val="20"/>
          <w:szCs w:val="20"/>
        </w:rPr>
        <w:t>quée sur celle du SOURSE</w:t>
      </w:r>
      <w:r w:rsidR="002C4568">
        <w:rPr>
          <w:rFonts w:ascii="Arial" w:hAnsi="Arial" w:cs="Arial"/>
          <w:sz w:val="20"/>
          <w:szCs w:val="20"/>
        </w:rPr>
        <w:t>.</w:t>
      </w:r>
      <w:r w:rsidR="0023292F">
        <w:rPr>
          <w:rFonts w:ascii="Arial" w:hAnsi="Arial" w:cs="Arial"/>
          <w:sz w:val="20"/>
          <w:szCs w:val="20"/>
        </w:rPr>
        <w:t xml:space="preserve"> </w:t>
      </w:r>
      <w:r w:rsidR="002C4568">
        <w:rPr>
          <w:rFonts w:ascii="Arial" w:hAnsi="Arial" w:cs="Arial"/>
          <w:sz w:val="20"/>
          <w:szCs w:val="20"/>
        </w:rPr>
        <w:t>Il ajoute que l</w:t>
      </w:r>
      <w:r w:rsidR="0023292F">
        <w:rPr>
          <w:rFonts w:ascii="Arial" w:hAnsi="Arial" w:cs="Arial"/>
          <w:sz w:val="20"/>
          <w:szCs w:val="20"/>
        </w:rPr>
        <w:t>a perte massive de surfaces irriguées fait du maintien du potentiel irrigable régional un enjeu majeur reposant, entre autre, sur la capacité des associations syndicales de propriétaires à agir.</w:t>
      </w:r>
      <w:r>
        <w:rPr>
          <w:rFonts w:ascii="Arial" w:hAnsi="Arial" w:cs="Arial"/>
          <w:sz w:val="20"/>
          <w:szCs w:val="20"/>
        </w:rPr>
        <w:t xml:space="preserve"> Le projet de création d’un pôle de compétence pour l’appui à ces structures est donc, selon lui, un dossier prioritaire.</w:t>
      </w:r>
    </w:p>
    <w:p w:rsidR="00953AF3" w:rsidRDefault="00953AF3" w:rsidP="009B0622">
      <w:pPr>
        <w:shd w:val="clear" w:color="auto" w:fill="FFFFFF"/>
        <w:ind w:firstLine="708"/>
        <w:jc w:val="both"/>
        <w:outlineLvl w:val="2"/>
        <w:rPr>
          <w:rFonts w:ascii="Arial" w:hAnsi="Arial" w:cs="Arial"/>
          <w:b/>
          <w:sz w:val="20"/>
          <w:szCs w:val="20"/>
        </w:rPr>
      </w:pPr>
    </w:p>
    <w:p w:rsidR="009A4EE3" w:rsidRPr="009A4EE3" w:rsidRDefault="009A4EE3" w:rsidP="009B0622">
      <w:pPr>
        <w:shd w:val="clear" w:color="auto" w:fill="FFFFFF"/>
        <w:ind w:firstLine="708"/>
        <w:jc w:val="both"/>
        <w:outlineLvl w:val="2"/>
        <w:rPr>
          <w:rFonts w:ascii="Arial" w:hAnsi="Arial" w:cs="Arial"/>
          <w:b/>
          <w:sz w:val="20"/>
          <w:szCs w:val="20"/>
        </w:rPr>
      </w:pPr>
      <w:r w:rsidRPr="009A4EE3">
        <w:rPr>
          <w:rFonts w:ascii="Arial" w:hAnsi="Arial" w:cs="Arial"/>
          <w:b/>
          <w:sz w:val="20"/>
          <w:szCs w:val="20"/>
        </w:rPr>
        <w:t>La stratégie régionale sur les eaux souterraines</w:t>
      </w:r>
    </w:p>
    <w:p w:rsidR="009A4EE3" w:rsidRDefault="009A4EE3" w:rsidP="00953AF3">
      <w:pPr>
        <w:shd w:val="clear" w:color="auto" w:fill="FFFFFF"/>
        <w:jc w:val="both"/>
        <w:outlineLvl w:val="2"/>
        <w:rPr>
          <w:rFonts w:ascii="Arial" w:hAnsi="Arial" w:cs="Arial"/>
          <w:sz w:val="20"/>
          <w:szCs w:val="20"/>
        </w:rPr>
      </w:pPr>
      <w:r>
        <w:rPr>
          <w:rFonts w:ascii="Arial" w:hAnsi="Arial" w:cs="Arial"/>
          <w:sz w:val="20"/>
          <w:szCs w:val="20"/>
        </w:rPr>
        <w:t>Présentation par Claire ARNAL, BRGM et Christel FRANCART, chargée de mission au Service eau et milieux aquatiques de la Région.</w:t>
      </w:r>
    </w:p>
    <w:p w:rsidR="009A4EE3" w:rsidRDefault="009A4EE3" w:rsidP="00953AF3">
      <w:pPr>
        <w:shd w:val="clear" w:color="auto" w:fill="FFFFFF"/>
        <w:jc w:val="both"/>
        <w:outlineLvl w:val="2"/>
        <w:rPr>
          <w:rFonts w:ascii="Arial" w:hAnsi="Arial" w:cs="Arial"/>
          <w:sz w:val="20"/>
          <w:szCs w:val="20"/>
        </w:rPr>
      </w:pPr>
      <w:r>
        <w:rPr>
          <w:rFonts w:ascii="Arial" w:hAnsi="Arial" w:cs="Arial"/>
          <w:sz w:val="20"/>
          <w:szCs w:val="20"/>
        </w:rPr>
        <w:t>Suite à la présentation, Monsieur Patrick LANDAIS, Directeur scientifique du BRGM, conclue sur l’exemplarité du partenariat entre la Région et le BRGM et sur l’importance de la capitalisation de la connaissance sur les eaux souterraines que va permettre la convention que la Région et le BRGM s</w:t>
      </w:r>
      <w:r w:rsidR="002C4568">
        <w:rPr>
          <w:rFonts w:ascii="Arial" w:hAnsi="Arial" w:cs="Arial"/>
          <w:sz w:val="20"/>
          <w:szCs w:val="20"/>
        </w:rPr>
        <w:t>’apprêtent à</w:t>
      </w:r>
      <w:r>
        <w:rPr>
          <w:rFonts w:ascii="Arial" w:hAnsi="Arial" w:cs="Arial"/>
          <w:sz w:val="20"/>
          <w:szCs w:val="20"/>
        </w:rPr>
        <w:t xml:space="preserve"> signer.</w:t>
      </w:r>
    </w:p>
    <w:p w:rsidR="00953AF3" w:rsidRPr="00643CEC" w:rsidRDefault="00953AF3" w:rsidP="009B0622">
      <w:pPr>
        <w:shd w:val="clear" w:color="auto" w:fill="FFFFFF"/>
        <w:ind w:firstLine="708"/>
        <w:jc w:val="both"/>
        <w:outlineLvl w:val="2"/>
        <w:rPr>
          <w:rFonts w:ascii="Arial" w:hAnsi="Arial" w:cs="Arial"/>
          <w:sz w:val="20"/>
          <w:szCs w:val="20"/>
        </w:rPr>
      </w:pPr>
    </w:p>
    <w:p w:rsidR="009B0622" w:rsidRDefault="009B0622" w:rsidP="009B0622">
      <w:pPr>
        <w:pBdr>
          <w:bottom w:val="single" w:sz="4" w:space="1" w:color="auto"/>
        </w:pBdr>
        <w:jc w:val="both"/>
        <w:rPr>
          <w:rFonts w:ascii="Arial" w:hAnsi="Arial" w:cs="Arial"/>
          <w:sz w:val="20"/>
          <w:szCs w:val="20"/>
        </w:rPr>
      </w:pPr>
      <w:r>
        <w:rPr>
          <w:rFonts w:ascii="Arial" w:hAnsi="Arial" w:cs="Arial"/>
          <w:sz w:val="20"/>
          <w:szCs w:val="20"/>
        </w:rPr>
        <w:t>La réforme territoriale et l’évolution législative en cours</w:t>
      </w:r>
    </w:p>
    <w:p w:rsidR="009B0622" w:rsidRPr="00953AF3" w:rsidRDefault="00953AF3" w:rsidP="00953AF3">
      <w:pPr>
        <w:ind w:firstLine="708"/>
        <w:jc w:val="both"/>
        <w:rPr>
          <w:rFonts w:ascii="Arial" w:hAnsi="Arial" w:cs="Arial"/>
          <w:b/>
          <w:sz w:val="20"/>
          <w:szCs w:val="20"/>
        </w:rPr>
      </w:pPr>
      <w:r w:rsidRPr="00953AF3">
        <w:rPr>
          <w:rFonts w:ascii="Arial" w:hAnsi="Arial" w:cs="Arial"/>
          <w:b/>
          <w:sz w:val="20"/>
          <w:szCs w:val="20"/>
        </w:rPr>
        <w:t>Quels impacts sur la gouvernance et l’action publique dans le domaine de l’eau ?</w:t>
      </w:r>
    </w:p>
    <w:p w:rsidR="009B0622" w:rsidRDefault="00953AF3" w:rsidP="000C4032">
      <w:pPr>
        <w:jc w:val="both"/>
        <w:rPr>
          <w:rFonts w:ascii="Arial" w:hAnsi="Arial" w:cs="Arial"/>
          <w:sz w:val="20"/>
          <w:szCs w:val="20"/>
        </w:rPr>
      </w:pPr>
      <w:r w:rsidRPr="00953AF3">
        <w:rPr>
          <w:rFonts w:ascii="Arial" w:hAnsi="Arial" w:cs="Arial"/>
          <w:sz w:val="20"/>
          <w:szCs w:val="20"/>
        </w:rPr>
        <w:t xml:space="preserve">Monsieur GUY MOUREAU, </w:t>
      </w:r>
      <w:r>
        <w:rPr>
          <w:rFonts w:ascii="Arial" w:hAnsi="Arial" w:cs="Arial"/>
          <w:sz w:val="20"/>
          <w:szCs w:val="20"/>
        </w:rPr>
        <w:t>P</w:t>
      </w:r>
      <w:r w:rsidRPr="00953AF3">
        <w:rPr>
          <w:rFonts w:ascii="Arial" w:hAnsi="Arial" w:cs="Arial"/>
          <w:sz w:val="20"/>
          <w:szCs w:val="20"/>
        </w:rPr>
        <w:t xml:space="preserve">résident de la commission thématique </w:t>
      </w:r>
      <w:r>
        <w:rPr>
          <w:rFonts w:ascii="Arial" w:hAnsi="Arial" w:cs="Arial"/>
          <w:sz w:val="20"/>
          <w:szCs w:val="20"/>
        </w:rPr>
        <w:t xml:space="preserve">n°1 relative </w:t>
      </w:r>
      <w:r w:rsidR="008D51BC">
        <w:rPr>
          <w:rFonts w:ascii="Arial" w:hAnsi="Arial" w:cs="Arial"/>
          <w:sz w:val="20"/>
          <w:szCs w:val="20"/>
        </w:rPr>
        <w:t>« </w:t>
      </w:r>
      <w:r>
        <w:rPr>
          <w:rFonts w:ascii="Arial" w:hAnsi="Arial" w:cs="Arial"/>
          <w:sz w:val="20"/>
          <w:szCs w:val="20"/>
        </w:rPr>
        <w:t xml:space="preserve">aux gouvernances </w:t>
      </w:r>
      <w:r w:rsidR="00AE3D88">
        <w:rPr>
          <w:rFonts w:ascii="Arial" w:hAnsi="Arial" w:cs="Arial"/>
          <w:sz w:val="20"/>
          <w:szCs w:val="20"/>
        </w:rPr>
        <w:t xml:space="preserve">locales </w:t>
      </w:r>
      <w:r>
        <w:rPr>
          <w:rFonts w:ascii="Arial" w:hAnsi="Arial" w:cs="Arial"/>
          <w:sz w:val="20"/>
          <w:szCs w:val="20"/>
        </w:rPr>
        <w:t>et à l’aménagement des territoires », rappelle les ambitions de cette commission et souligne le fait que le débat sur les évolutions législatives s’inscrit dans les travaux de la commission, avec notamment un focus sur les enjeux liés à la nouvelle compétence GEMAPI.</w:t>
      </w:r>
    </w:p>
    <w:p w:rsidR="00953AF3" w:rsidRDefault="00953AF3" w:rsidP="000C4032">
      <w:pPr>
        <w:jc w:val="both"/>
        <w:rPr>
          <w:rFonts w:ascii="Arial" w:hAnsi="Arial" w:cs="Arial"/>
          <w:sz w:val="20"/>
          <w:szCs w:val="20"/>
        </w:rPr>
      </w:pPr>
      <w:r>
        <w:rPr>
          <w:rFonts w:ascii="Arial" w:hAnsi="Arial" w:cs="Arial"/>
          <w:sz w:val="20"/>
          <w:szCs w:val="20"/>
        </w:rPr>
        <w:t>Présentation de la réforme territoriale par Robert GENTILI, chargé de mission au Service eau et milieux aquatiques de la Région</w:t>
      </w:r>
      <w:r w:rsidR="009117B6">
        <w:rPr>
          <w:rFonts w:ascii="Arial" w:hAnsi="Arial" w:cs="Arial"/>
          <w:sz w:val="20"/>
          <w:szCs w:val="20"/>
        </w:rPr>
        <w:t> : loi MAPTAM, loi NOTRe</w:t>
      </w:r>
      <w:r>
        <w:rPr>
          <w:rFonts w:ascii="Arial" w:hAnsi="Arial" w:cs="Arial"/>
          <w:sz w:val="20"/>
          <w:szCs w:val="20"/>
        </w:rPr>
        <w:t>.</w:t>
      </w:r>
    </w:p>
    <w:p w:rsidR="00953AF3" w:rsidRDefault="00953AF3" w:rsidP="000C4032">
      <w:pPr>
        <w:jc w:val="both"/>
        <w:rPr>
          <w:rFonts w:ascii="Arial" w:hAnsi="Arial" w:cs="Arial"/>
          <w:sz w:val="20"/>
          <w:szCs w:val="20"/>
        </w:rPr>
      </w:pPr>
      <w:r>
        <w:rPr>
          <w:rFonts w:ascii="Arial" w:hAnsi="Arial" w:cs="Arial"/>
          <w:sz w:val="20"/>
          <w:szCs w:val="20"/>
        </w:rPr>
        <w:t>Madame DI MEO conclue ce</w:t>
      </w:r>
      <w:r w:rsidR="002C4568">
        <w:rPr>
          <w:rFonts w:ascii="Arial" w:hAnsi="Arial" w:cs="Arial"/>
          <w:sz w:val="20"/>
          <w:szCs w:val="20"/>
        </w:rPr>
        <w:t>tte présentation</w:t>
      </w:r>
      <w:r>
        <w:rPr>
          <w:rFonts w:ascii="Arial" w:hAnsi="Arial" w:cs="Arial"/>
          <w:sz w:val="20"/>
          <w:szCs w:val="20"/>
        </w:rPr>
        <w:t xml:space="preserve"> en proposant qu’une réflexion soit menée sur l’établissement d’un « Dire AGORA » </w:t>
      </w:r>
      <w:r w:rsidR="008D51BC">
        <w:rPr>
          <w:rFonts w:ascii="Arial" w:hAnsi="Arial" w:cs="Arial"/>
          <w:sz w:val="20"/>
          <w:szCs w:val="20"/>
        </w:rPr>
        <w:t>qui reprendrait les points suivants :</w:t>
      </w:r>
    </w:p>
    <w:p w:rsidR="00953AF3" w:rsidRPr="008D51BC" w:rsidRDefault="008D51BC" w:rsidP="008D51BC">
      <w:pPr>
        <w:pStyle w:val="Paragraphedeliste"/>
        <w:numPr>
          <w:ilvl w:val="0"/>
          <w:numId w:val="4"/>
        </w:numPr>
        <w:jc w:val="both"/>
        <w:rPr>
          <w:rFonts w:ascii="Arial" w:hAnsi="Arial" w:cs="Arial"/>
          <w:sz w:val="20"/>
          <w:szCs w:val="20"/>
        </w:rPr>
      </w:pPr>
      <w:r>
        <w:rPr>
          <w:rFonts w:ascii="Arial" w:hAnsi="Arial" w:cs="Arial"/>
          <w:sz w:val="20"/>
          <w:szCs w:val="20"/>
        </w:rPr>
        <w:t>Le besoin de p</w:t>
      </w:r>
      <w:r w:rsidR="00953AF3" w:rsidRPr="008D51BC">
        <w:rPr>
          <w:rFonts w:ascii="Arial" w:hAnsi="Arial" w:cs="Arial"/>
          <w:sz w:val="20"/>
          <w:szCs w:val="20"/>
        </w:rPr>
        <w:t>érennisation de l’AGORA</w:t>
      </w:r>
    </w:p>
    <w:p w:rsidR="00953AF3" w:rsidRPr="008D51BC" w:rsidRDefault="00953AF3" w:rsidP="008D51BC">
      <w:pPr>
        <w:pStyle w:val="Paragraphedeliste"/>
        <w:numPr>
          <w:ilvl w:val="0"/>
          <w:numId w:val="4"/>
        </w:numPr>
        <w:jc w:val="both"/>
        <w:rPr>
          <w:rFonts w:ascii="Arial" w:hAnsi="Arial" w:cs="Arial"/>
          <w:sz w:val="20"/>
          <w:szCs w:val="20"/>
        </w:rPr>
      </w:pPr>
      <w:r w:rsidRPr="008D51BC">
        <w:rPr>
          <w:rFonts w:ascii="Arial" w:hAnsi="Arial" w:cs="Arial"/>
          <w:sz w:val="20"/>
          <w:szCs w:val="20"/>
        </w:rPr>
        <w:t>La défense du bassin versant comme périmètre de gestion de l’eau</w:t>
      </w:r>
    </w:p>
    <w:p w:rsidR="00953AF3" w:rsidRDefault="00953AF3" w:rsidP="008D51BC">
      <w:pPr>
        <w:pStyle w:val="Paragraphedeliste"/>
        <w:numPr>
          <w:ilvl w:val="0"/>
          <w:numId w:val="4"/>
        </w:numPr>
        <w:jc w:val="both"/>
        <w:rPr>
          <w:rFonts w:ascii="Arial" w:hAnsi="Arial" w:cs="Arial"/>
          <w:sz w:val="20"/>
          <w:szCs w:val="20"/>
        </w:rPr>
      </w:pPr>
      <w:r w:rsidRPr="008D51BC">
        <w:rPr>
          <w:rFonts w:ascii="Arial" w:hAnsi="Arial" w:cs="Arial"/>
          <w:sz w:val="20"/>
          <w:szCs w:val="20"/>
        </w:rPr>
        <w:t xml:space="preserve">La </w:t>
      </w:r>
      <w:r w:rsidR="008D51BC">
        <w:rPr>
          <w:rFonts w:ascii="Arial" w:hAnsi="Arial" w:cs="Arial"/>
          <w:sz w:val="20"/>
          <w:szCs w:val="20"/>
        </w:rPr>
        <w:t>promotion des dém</w:t>
      </w:r>
      <w:r w:rsidRPr="008D51BC">
        <w:rPr>
          <w:rFonts w:ascii="Arial" w:hAnsi="Arial" w:cs="Arial"/>
          <w:sz w:val="20"/>
          <w:szCs w:val="20"/>
        </w:rPr>
        <w:t xml:space="preserve">arches </w:t>
      </w:r>
      <w:r w:rsidR="008D51BC">
        <w:rPr>
          <w:rFonts w:ascii="Arial" w:hAnsi="Arial" w:cs="Arial"/>
          <w:sz w:val="20"/>
          <w:szCs w:val="20"/>
        </w:rPr>
        <w:t>ascendantes</w:t>
      </w:r>
    </w:p>
    <w:p w:rsidR="008D51BC" w:rsidRDefault="008D51BC" w:rsidP="008D51BC">
      <w:pPr>
        <w:pStyle w:val="Paragraphedeliste"/>
        <w:numPr>
          <w:ilvl w:val="0"/>
          <w:numId w:val="4"/>
        </w:numPr>
        <w:jc w:val="both"/>
        <w:rPr>
          <w:rFonts w:ascii="Arial" w:hAnsi="Arial" w:cs="Arial"/>
          <w:sz w:val="20"/>
          <w:szCs w:val="20"/>
        </w:rPr>
      </w:pPr>
      <w:r>
        <w:rPr>
          <w:rFonts w:ascii="Arial" w:hAnsi="Arial" w:cs="Arial"/>
          <w:sz w:val="20"/>
          <w:szCs w:val="20"/>
        </w:rPr>
        <w:t>Imaginer et construire à l’échelle locale les mutualisations nécessaires</w:t>
      </w:r>
    </w:p>
    <w:p w:rsidR="00F82CAA" w:rsidRPr="00F82CAA" w:rsidRDefault="008D51BC" w:rsidP="00F82CAA">
      <w:pPr>
        <w:pStyle w:val="Paragraphedeliste"/>
        <w:numPr>
          <w:ilvl w:val="0"/>
          <w:numId w:val="4"/>
        </w:numPr>
        <w:jc w:val="both"/>
        <w:rPr>
          <w:rFonts w:ascii="Arial" w:hAnsi="Arial" w:cs="Arial"/>
          <w:sz w:val="20"/>
          <w:szCs w:val="20"/>
        </w:rPr>
      </w:pPr>
      <w:r>
        <w:rPr>
          <w:rFonts w:ascii="Arial" w:hAnsi="Arial" w:cs="Arial"/>
          <w:sz w:val="20"/>
          <w:szCs w:val="20"/>
        </w:rPr>
        <w:t>Un point de vigilance par rapport à la co</w:t>
      </w:r>
      <w:r w:rsidR="002C4568">
        <w:rPr>
          <w:rFonts w:ascii="Arial" w:hAnsi="Arial" w:cs="Arial"/>
          <w:sz w:val="20"/>
          <w:szCs w:val="20"/>
        </w:rPr>
        <w:t>-</w:t>
      </w:r>
      <w:r>
        <w:rPr>
          <w:rFonts w:ascii="Arial" w:hAnsi="Arial" w:cs="Arial"/>
          <w:sz w:val="20"/>
          <w:szCs w:val="20"/>
        </w:rPr>
        <w:t xml:space="preserve">responsabilité des collectivités territoriales que la Loi NOTRe </w:t>
      </w:r>
      <w:r w:rsidR="002C4568">
        <w:rPr>
          <w:rFonts w:ascii="Arial" w:hAnsi="Arial" w:cs="Arial"/>
          <w:sz w:val="20"/>
          <w:szCs w:val="20"/>
        </w:rPr>
        <w:t>pourrait établire</w:t>
      </w:r>
      <w:r>
        <w:rPr>
          <w:rFonts w:ascii="Arial" w:hAnsi="Arial" w:cs="Arial"/>
          <w:sz w:val="20"/>
          <w:szCs w:val="20"/>
        </w:rPr>
        <w:t>.</w:t>
      </w:r>
    </w:p>
    <w:p w:rsidR="005B361F" w:rsidRDefault="005B361F" w:rsidP="000C4032">
      <w:pPr>
        <w:jc w:val="both"/>
        <w:rPr>
          <w:rFonts w:ascii="Arial" w:hAnsi="Arial" w:cs="Arial"/>
          <w:sz w:val="20"/>
          <w:szCs w:val="20"/>
        </w:rPr>
      </w:pPr>
      <w:r>
        <w:rPr>
          <w:rFonts w:ascii="Arial" w:hAnsi="Arial" w:cs="Arial"/>
          <w:sz w:val="20"/>
          <w:szCs w:val="20"/>
        </w:rPr>
        <w:t xml:space="preserve">Les échanges qui </w:t>
      </w:r>
      <w:r w:rsidR="002C4568">
        <w:rPr>
          <w:rFonts w:ascii="Arial" w:hAnsi="Arial" w:cs="Arial"/>
          <w:sz w:val="20"/>
          <w:szCs w:val="20"/>
        </w:rPr>
        <w:t>s’ensuivent</w:t>
      </w:r>
      <w:r>
        <w:rPr>
          <w:rFonts w:ascii="Arial" w:hAnsi="Arial" w:cs="Arial"/>
          <w:sz w:val="20"/>
          <w:szCs w:val="20"/>
        </w:rPr>
        <w:t xml:space="preserve"> font ressortir les points suivants :</w:t>
      </w:r>
    </w:p>
    <w:p w:rsidR="005B361F" w:rsidRDefault="005B361F" w:rsidP="006B243C">
      <w:pPr>
        <w:pStyle w:val="Paragraphedeliste"/>
        <w:numPr>
          <w:ilvl w:val="0"/>
          <w:numId w:val="5"/>
        </w:numPr>
        <w:jc w:val="both"/>
        <w:rPr>
          <w:rFonts w:ascii="Arial" w:hAnsi="Arial" w:cs="Arial"/>
          <w:sz w:val="20"/>
          <w:szCs w:val="20"/>
        </w:rPr>
      </w:pPr>
      <w:r>
        <w:rPr>
          <w:rFonts w:ascii="Arial" w:hAnsi="Arial" w:cs="Arial"/>
          <w:sz w:val="20"/>
          <w:szCs w:val="20"/>
        </w:rPr>
        <w:t>Que l</w:t>
      </w:r>
      <w:r w:rsidRPr="005B361F">
        <w:rPr>
          <w:rFonts w:ascii="Arial" w:hAnsi="Arial" w:cs="Arial"/>
          <w:sz w:val="20"/>
          <w:szCs w:val="20"/>
        </w:rPr>
        <w:t xml:space="preserve">a création de la compétence GEMAPI vient affirmer </w:t>
      </w:r>
      <w:r>
        <w:rPr>
          <w:rFonts w:ascii="Arial" w:hAnsi="Arial" w:cs="Arial"/>
          <w:sz w:val="20"/>
          <w:szCs w:val="20"/>
        </w:rPr>
        <w:t>l</w:t>
      </w:r>
      <w:r w:rsidRPr="005B361F">
        <w:rPr>
          <w:rFonts w:ascii="Arial" w:hAnsi="Arial" w:cs="Arial"/>
          <w:sz w:val="20"/>
          <w:szCs w:val="20"/>
        </w:rPr>
        <w:t>a cohérence de la gestion intégrée</w:t>
      </w:r>
      <w:r>
        <w:rPr>
          <w:rFonts w:ascii="Arial" w:hAnsi="Arial" w:cs="Arial"/>
          <w:sz w:val="20"/>
          <w:szCs w:val="20"/>
        </w:rPr>
        <w:t xml:space="preserve"> par bassin</w:t>
      </w:r>
      <w:r w:rsidRPr="005B361F">
        <w:rPr>
          <w:rFonts w:ascii="Arial" w:hAnsi="Arial" w:cs="Arial"/>
          <w:sz w:val="20"/>
          <w:szCs w:val="20"/>
        </w:rPr>
        <w:t xml:space="preserve"> </w:t>
      </w:r>
      <w:r w:rsidR="002C4568">
        <w:rPr>
          <w:rFonts w:ascii="Arial" w:hAnsi="Arial" w:cs="Arial"/>
          <w:sz w:val="20"/>
          <w:szCs w:val="20"/>
        </w:rPr>
        <w:t xml:space="preserve">versant </w:t>
      </w:r>
      <w:r>
        <w:rPr>
          <w:rFonts w:ascii="Arial" w:hAnsi="Arial" w:cs="Arial"/>
          <w:sz w:val="20"/>
          <w:szCs w:val="20"/>
        </w:rPr>
        <w:t>que la Région PACA a revendiquée par le passé.</w:t>
      </w:r>
    </w:p>
    <w:p w:rsidR="002C4568" w:rsidRDefault="002C4568" w:rsidP="002C4568">
      <w:pPr>
        <w:jc w:val="both"/>
        <w:rPr>
          <w:rFonts w:ascii="Arial" w:hAnsi="Arial" w:cs="Arial"/>
          <w:sz w:val="20"/>
          <w:szCs w:val="20"/>
        </w:rPr>
      </w:pPr>
    </w:p>
    <w:p w:rsidR="002C4568" w:rsidRPr="002C4568" w:rsidRDefault="002C4568" w:rsidP="002C4568">
      <w:pPr>
        <w:jc w:val="both"/>
        <w:rPr>
          <w:rFonts w:ascii="Arial" w:hAnsi="Arial" w:cs="Arial"/>
          <w:sz w:val="20"/>
          <w:szCs w:val="20"/>
        </w:rPr>
      </w:pPr>
    </w:p>
    <w:p w:rsidR="00A4259F" w:rsidRDefault="00A4259F" w:rsidP="006B243C">
      <w:pPr>
        <w:pStyle w:val="Paragraphedeliste"/>
        <w:numPr>
          <w:ilvl w:val="0"/>
          <w:numId w:val="5"/>
        </w:numPr>
        <w:jc w:val="both"/>
        <w:rPr>
          <w:rFonts w:ascii="Arial" w:hAnsi="Arial" w:cs="Arial"/>
          <w:sz w:val="20"/>
          <w:szCs w:val="20"/>
        </w:rPr>
      </w:pPr>
      <w:r>
        <w:rPr>
          <w:rFonts w:ascii="Arial" w:hAnsi="Arial" w:cs="Arial"/>
          <w:sz w:val="20"/>
          <w:szCs w:val="20"/>
        </w:rPr>
        <w:t>Que certains petits bassins versants sont aujourd’hui encore « orphelins » de structure de gestion et que très peu de temps est laissé à ces territoires pour s’organiser face à cette nouvelle compétence.</w:t>
      </w:r>
    </w:p>
    <w:p w:rsidR="005B361F" w:rsidRDefault="005B361F" w:rsidP="006B243C">
      <w:pPr>
        <w:pStyle w:val="Paragraphedeliste"/>
        <w:numPr>
          <w:ilvl w:val="0"/>
          <w:numId w:val="5"/>
        </w:numPr>
        <w:jc w:val="both"/>
        <w:rPr>
          <w:rFonts w:ascii="Arial" w:hAnsi="Arial" w:cs="Arial"/>
          <w:sz w:val="20"/>
          <w:szCs w:val="20"/>
        </w:rPr>
      </w:pPr>
      <w:r>
        <w:rPr>
          <w:rFonts w:ascii="Arial" w:hAnsi="Arial" w:cs="Arial"/>
          <w:sz w:val="20"/>
          <w:szCs w:val="20"/>
        </w:rPr>
        <w:t xml:space="preserve">Qu’il faudra </w:t>
      </w:r>
      <w:r w:rsidR="00A4259F">
        <w:rPr>
          <w:rFonts w:ascii="Arial" w:hAnsi="Arial" w:cs="Arial"/>
          <w:sz w:val="20"/>
          <w:szCs w:val="20"/>
        </w:rPr>
        <w:t xml:space="preserve">effectivement, sur certains territoires, </w:t>
      </w:r>
      <w:r>
        <w:rPr>
          <w:rFonts w:ascii="Arial" w:hAnsi="Arial" w:cs="Arial"/>
          <w:sz w:val="20"/>
          <w:szCs w:val="20"/>
        </w:rPr>
        <w:t>le temps</w:t>
      </w:r>
      <w:r w:rsidRPr="005B361F">
        <w:rPr>
          <w:rFonts w:ascii="Arial" w:hAnsi="Arial" w:cs="Arial"/>
          <w:sz w:val="20"/>
          <w:szCs w:val="20"/>
        </w:rPr>
        <w:t xml:space="preserve"> </w:t>
      </w:r>
      <w:r>
        <w:rPr>
          <w:rFonts w:ascii="Arial" w:hAnsi="Arial" w:cs="Arial"/>
          <w:sz w:val="20"/>
          <w:szCs w:val="20"/>
        </w:rPr>
        <w:t>de la construction de la bonn</w:t>
      </w:r>
      <w:r w:rsidRPr="005B361F">
        <w:rPr>
          <w:rFonts w:ascii="Arial" w:hAnsi="Arial" w:cs="Arial"/>
          <w:sz w:val="20"/>
          <w:szCs w:val="20"/>
        </w:rPr>
        <w:t xml:space="preserve">e </w:t>
      </w:r>
      <w:r>
        <w:rPr>
          <w:rFonts w:ascii="Arial" w:hAnsi="Arial" w:cs="Arial"/>
          <w:sz w:val="20"/>
          <w:szCs w:val="20"/>
        </w:rPr>
        <w:t>taille de structures de gestion de façon à ce qu’elles aient la capacité financière et technique d’agir pour mettre en œuvre intégralement la GEMAPI</w:t>
      </w:r>
      <w:r w:rsidR="005300ED">
        <w:rPr>
          <w:rFonts w:ascii="Arial" w:hAnsi="Arial" w:cs="Arial"/>
          <w:sz w:val="20"/>
          <w:szCs w:val="20"/>
        </w:rPr>
        <w:t>.</w:t>
      </w:r>
    </w:p>
    <w:p w:rsidR="005B361F" w:rsidRPr="005300ED" w:rsidRDefault="005300ED" w:rsidP="00CC6230">
      <w:pPr>
        <w:pStyle w:val="Paragraphedeliste"/>
        <w:numPr>
          <w:ilvl w:val="0"/>
          <w:numId w:val="5"/>
        </w:numPr>
        <w:jc w:val="both"/>
        <w:rPr>
          <w:rFonts w:ascii="Arial" w:hAnsi="Arial" w:cs="Arial"/>
          <w:sz w:val="20"/>
          <w:szCs w:val="20"/>
        </w:rPr>
      </w:pPr>
      <w:r w:rsidRPr="005300ED">
        <w:rPr>
          <w:rFonts w:ascii="Arial" w:hAnsi="Arial" w:cs="Arial"/>
          <w:sz w:val="20"/>
          <w:szCs w:val="20"/>
        </w:rPr>
        <w:t xml:space="preserve">Que l’action de l’Etat est attendue pour l’accompagnement des territoires </w:t>
      </w:r>
      <w:r w:rsidR="002C4568">
        <w:rPr>
          <w:rFonts w:ascii="Arial" w:hAnsi="Arial" w:cs="Arial"/>
          <w:sz w:val="20"/>
          <w:szCs w:val="20"/>
        </w:rPr>
        <w:t>dans</w:t>
      </w:r>
      <w:r w:rsidRPr="005300ED">
        <w:rPr>
          <w:rFonts w:ascii="Arial" w:hAnsi="Arial" w:cs="Arial"/>
          <w:sz w:val="20"/>
          <w:szCs w:val="20"/>
        </w:rPr>
        <w:t xml:space="preserve"> la mise en place de la GEMAPI</w:t>
      </w:r>
      <w:r w:rsidR="002C4568">
        <w:rPr>
          <w:rFonts w:ascii="Arial" w:hAnsi="Arial" w:cs="Arial"/>
          <w:sz w:val="20"/>
          <w:szCs w:val="20"/>
        </w:rPr>
        <w:t xml:space="preserve"> et que la R</w:t>
      </w:r>
      <w:r>
        <w:rPr>
          <w:rFonts w:ascii="Arial" w:hAnsi="Arial" w:cs="Arial"/>
          <w:sz w:val="20"/>
          <w:szCs w:val="20"/>
        </w:rPr>
        <w:t>égion sera partenaire de ces actions.</w:t>
      </w:r>
    </w:p>
    <w:p w:rsidR="005300ED" w:rsidRPr="005300ED" w:rsidRDefault="005B361F" w:rsidP="007A4371">
      <w:pPr>
        <w:pStyle w:val="Paragraphedeliste"/>
        <w:numPr>
          <w:ilvl w:val="0"/>
          <w:numId w:val="5"/>
        </w:numPr>
        <w:jc w:val="both"/>
        <w:rPr>
          <w:rFonts w:ascii="Arial" w:hAnsi="Arial" w:cs="Arial"/>
          <w:sz w:val="20"/>
          <w:szCs w:val="20"/>
        </w:rPr>
      </w:pPr>
      <w:r w:rsidRPr="005300ED">
        <w:rPr>
          <w:rFonts w:ascii="Arial" w:hAnsi="Arial" w:cs="Arial"/>
          <w:sz w:val="20"/>
          <w:szCs w:val="20"/>
        </w:rPr>
        <w:t xml:space="preserve">Que l’EPTB existant sur le territoire régional a un rôle majeur à jouer dans la </w:t>
      </w:r>
      <w:r w:rsidR="005300ED" w:rsidRPr="005300ED">
        <w:rPr>
          <w:rFonts w:ascii="Arial" w:hAnsi="Arial" w:cs="Arial"/>
          <w:sz w:val="20"/>
          <w:szCs w:val="20"/>
        </w:rPr>
        <w:t>réflexion</w:t>
      </w:r>
      <w:r w:rsidRPr="005300ED">
        <w:rPr>
          <w:rFonts w:ascii="Arial" w:hAnsi="Arial" w:cs="Arial"/>
          <w:sz w:val="20"/>
          <w:szCs w:val="20"/>
        </w:rPr>
        <w:t xml:space="preserve"> et la mise en œuvre de la GEMAPI</w:t>
      </w:r>
      <w:r w:rsidR="002C4568">
        <w:rPr>
          <w:rFonts w:ascii="Arial" w:hAnsi="Arial" w:cs="Arial"/>
          <w:sz w:val="20"/>
          <w:szCs w:val="20"/>
        </w:rPr>
        <w:t>.</w:t>
      </w:r>
    </w:p>
    <w:p w:rsidR="005300ED" w:rsidRPr="005300ED" w:rsidRDefault="005300ED" w:rsidP="005300ED">
      <w:pPr>
        <w:pStyle w:val="Paragraphedeliste"/>
        <w:numPr>
          <w:ilvl w:val="0"/>
          <w:numId w:val="5"/>
        </w:numPr>
        <w:jc w:val="both"/>
        <w:rPr>
          <w:rFonts w:ascii="Arial" w:hAnsi="Arial" w:cs="Arial"/>
          <w:sz w:val="20"/>
          <w:szCs w:val="20"/>
        </w:rPr>
      </w:pPr>
      <w:r>
        <w:rPr>
          <w:rFonts w:ascii="Arial" w:hAnsi="Arial" w:cs="Arial"/>
          <w:sz w:val="20"/>
          <w:szCs w:val="20"/>
        </w:rPr>
        <w:t xml:space="preserve">Que le rôle et l’implication des grandes collectivités telles que la Région et les Départements dépendront des lois qui seront votées (loi NOTRe, Loi Biodiversité), notamment au regard des futures possibilités de soutien et de participation financière de ces </w:t>
      </w:r>
      <w:r w:rsidR="002C4568">
        <w:rPr>
          <w:rFonts w:ascii="Arial" w:hAnsi="Arial" w:cs="Arial"/>
          <w:sz w:val="20"/>
          <w:szCs w:val="20"/>
        </w:rPr>
        <w:t xml:space="preserve">institutions aux </w:t>
      </w:r>
      <w:r>
        <w:rPr>
          <w:rFonts w:ascii="Arial" w:hAnsi="Arial" w:cs="Arial"/>
          <w:sz w:val="20"/>
          <w:szCs w:val="20"/>
        </w:rPr>
        <w:t>structures</w:t>
      </w:r>
      <w:r w:rsidR="002C4568">
        <w:rPr>
          <w:rFonts w:ascii="Arial" w:hAnsi="Arial" w:cs="Arial"/>
          <w:sz w:val="20"/>
          <w:szCs w:val="20"/>
        </w:rPr>
        <w:t xml:space="preserve"> de gestion</w:t>
      </w:r>
      <w:r>
        <w:rPr>
          <w:rFonts w:ascii="Arial" w:hAnsi="Arial" w:cs="Arial"/>
          <w:sz w:val="20"/>
          <w:szCs w:val="20"/>
        </w:rPr>
        <w:t>.</w:t>
      </w:r>
    </w:p>
    <w:p w:rsidR="005B361F" w:rsidRPr="005B361F" w:rsidRDefault="005300ED" w:rsidP="005B361F">
      <w:pPr>
        <w:pStyle w:val="Paragraphedeliste"/>
        <w:numPr>
          <w:ilvl w:val="0"/>
          <w:numId w:val="5"/>
        </w:numPr>
        <w:jc w:val="both"/>
        <w:rPr>
          <w:rFonts w:ascii="Arial" w:hAnsi="Arial" w:cs="Arial"/>
          <w:sz w:val="20"/>
          <w:szCs w:val="20"/>
        </w:rPr>
      </w:pPr>
      <w:r>
        <w:rPr>
          <w:rFonts w:ascii="Arial" w:hAnsi="Arial" w:cs="Arial"/>
          <w:sz w:val="20"/>
          <w:szCs w:val="20"/>
        </w:rPr>
        <w:t>Que reste en suspens la question du portage des compétences hors GEMAPI telles que la gestion quantitative, la lutte contre les pollutions, etc.</w:t>
      </w:r>
    </w:p>
    <w:p w:rsidR="005300ED" w:rsidRDefault="005B361F" w:rsidP="000C4032">
      <w:pPr>
        <w:jc w:val="both"/>
        <w:rPr>
          <w:rFonts w:ascii="Arial" w:hAnsi="Arial" w:cs="Arial"/>
          <w:sz w:val="20"/>
          <w:szCs w:val="20"/>
        </w:rPr>
      </w:pPr>
      <w:r>
        <w:rPr>
          <w:rFonts w:ascii="Arial" w:hAnsi="Arial" w:cs="Arial"/>
          <w:sz w:val="20"/>
          <w:szCs w:val="20"/>
        </w:rPr>
        <w:t>Il est par ailleurs demandé</w:t>
      </w:r>
      <w:r w:rsidR="009117B6">
        <w:rPr>
          <w:rFonts w:ascii="Arial" w:hAnsi="Arial" w:cs="Arial"/>
          <w:sz w:val="20"/>
          <w:szCs w:val="20"/>
        </w:rPr>
        <w:t xml:space="preserve"> que soit ajouté</w:t>
      </w:r>
      <w:r w:rsidR="005300ED">
        <w:rPr>
          <w:rFonts w:ascii="Arial" w:hAnsi="Arial" w:cs="Arial"/>
          <w:sz w:val="20"/>
          <w:szCs w:val="20"/>
        </w:rPr>
        <w:t>s</w:t>
      </w:r>
      <w:r w:rsidR="009117B6">
        <w:rPr>
          <w:rFonts w:ascii="Arial" w:hAnsi="Arial" w:cs="Arial"/>
          <w:sz w:val="20"/>
          <w:szCs w:val="20"/>
        </w:rPr>
        <w:t xml:space="preserve"> dans le futur « Dire AGORA »</w:t>
      </w:r>
      <w:r w:rsidR="005300ED">
        <w:rPr>
          <w:rFonts w:ascii="Arial" w:hAnsi="Arial" w:cs="Arial"/>
          <w:sz w:val="20"/>
          <w:szCs w:val="20"/>
        </w:rPr>
        <w:t> :</w:t>
      </w:r>
    </w:p>
    <w:p w:rsidR="005300ED" w:rsidRDefault="009117B6" w:rsidP="005300ED">
      <w:pPr>
        <w:pStyle w:val="Paragraphedeliste"/>
        <w:numPr>
          <w:ilvl w:val="0"/>
          <w:numId w:val="6"/>
        </w:numPr>
        <w:jc w:val="both"/>
        <w:rPr>
          <w:rFonts w:ascii="Arial" w:hAnsi="Arial" w:cs="Arial"/>
          <w:sz w:val="20"/>
          <w:szCs w:val="20"/>
        </w:rPr>
      </w:pPr>
      <w:r w:rsidRPr="005300ED">
        <w:rPr>
          <w:rFonts w:ascii="Arial" w:hAnsi="Arial" w:cs="Arial"/>
          <w:sz w:val="20"/>
          <w:szCs w:val="20"/>
        </w:rPr>
        <w:t>les notions de solidarité et de création de valeur afin que soit recherché un modèle économique permettant aux petites structures de s’organiser sur la capac</w:t>
      </w:r>
      <w:r w:rsidR="005300ED" w:rsidRPr="005300ED">
        <w:rPr>
          <w:rFonts w:ascii="Arial" w:hAnsi="Arial" w:cs="Arial"/>
          <w:sz w:val="20"/>
          <w:szCs w:val="20"/>
        </w:rPr>
        <w:t>ité à faire ;</w:t>
      </w:r>
    </w:p>
    <w:p w:rsidR="00763D3F" w:rsidRPr="005300ED" w:rsidRDefault="005300ED" w:rsidP="005300ED">
      <w:pPr>
        <w:pStyle w:val="Paragraphedeliste"/>
        <w:numPr>
          <w:ilvl w:val="0"/>
          <w:numId w:val="6"/>
        </w:numPr>
        <w:jc w:val="both"/>
        <w:rPr>
          <w:rFonts w:ascii="Arial" w:hAnsi="Arial" w:cs="Arial"/>
          <w:sz w:val="20"/>
          <w:szCs w:val="20"/>
        </w:rPr>
      </w:pPr>
      <w:r>
        <w:rPr>
          <w:rFonts w:ascii="Arial" w:hAnsi="Arial" w:cs="Arial"/>
          <w:sz w:val="20"/>
          <w:szCs w:val="20"/>
        </w:rPr>
        <w:t>la place du citoyen dans les politiques publiques et le</w:t>
      </w:r>
      <w:r w:rsidRPr="005300ED">
        <w:rPr>
          <w:rFonts w:ascii="Arial" w:hAnsi="Arial" w:cs="Arial"/>
          <w:sz w:val="20"/>
          <w:szCs w:val="20"/>
        </w:rPr>
        <w:t xml:space="preserve"> besoin de participation du citoy</w:t>
      </w:r>
      <w:r>
        <w:rPr>
          <w:rFonts w:ascii="Arial" w:hAnsi="Arial" w:cs="Arial"/>
          <w:sz w:val="20"/>
          <w:szCs w:val="20"/>
        </w:rPr>
        <w:t>en.</w:t>
      </w:r>
    </w:p>
    <w:p w:rsidR="009117B6" w:rsidRPr="009117B6" w:rsidRDefault="009117B6" w:rsidP="000C4032">
      <w:pPr>
        <w:jc w:val="both"/>
        <w:rPr>
          <w:rFonts w:ascii="Arial" w:hAnsi="Arial" w:cs="Arial"/>
          <w:sz w:val="20"/>
          <w:szCs w:val="20"/>
        </w:rPr>
      </w:pPr>
    </w:p>
    <w:p w:rsidR="009765D1" w:rsidRPr="008D51BC" w:rsidRDefault="008D51BC" w:rsidP="008D51BC">
      <w:pPr>
        <w:pBdr>
          <w:bottom w:val="single" w:sz="4" w:space="1" w:color="auto"/>
        </w:pBdr>
        <w:jc w:val="both"/>
        <w:rPr>
          <w:rFonts w:ascii="Arial" w:hAnsi="Arial" w:cs="Arial"/>
          <w:sz w:val="20"/>
          <w:szCs w:val="20"/>
        </w:rPr>
      </w:pPr>
      <w:r w:rsidRPr="008D51BC">
        <w:rPr>
          <w:rFonts w:ascii="Arial" w:hAnsi="Arial" w:cs="Arial"/>
          <w:sz w:val="20"/>
          <w:szCs w:val="20"/>
        </w:rPr>
        <w:t>Points d’information</w:t>
      </w:r>
    </w:p>
    <w:p w:rsidR="008D51BC" w:rsidRDefault="008D51BC" w:rsidP="008D51BC">
      <w:pPr>
        <w:ind w:left="705"/>
        <w:jc w:val="both"/>
        <w:rPr>
          <w:rFonts w:ascii="Arial" w:hAnsi="Arial" w:cs="Arial"/>
          <w:sz w:val="20"/>
          <w:szCs w:val="20"/>
        </w:rPr>
      </w:pPr>
      <w:r w:rsidRPr="008D51BC">
        <w:rPr>
          <w:rFonts w:ascii="Arial" w:hAnsi="Arial" w:cs="Arial"/>
          <w:b/>
          <w:sz w:val="20"/>
          <w:szCs w:val="20"/>
        </w:rPr>
        <w:t>Lancement de l’étude des usages de l’eau du système Durance-Verdon par le SMAVD, établissement public territorial du bassin de la Durance</w:t>
      </w:r>
    </w:p>
    <w:p w:rsidR="008D51BC" w:rsidRDefault="008D51BC" w:rsidP="000C4032">
      <w:pPr>
        <w:jc w:val="both"/>
        <w:rPr>
          <w:rFonts w:ascii="Arial" w:hAnsi="Arial" w:cs="Arial"/>
          <w:sz w:val="20"/>
          <w:szCs w:val="20"/>
        </w:rPr>
      </w:pPr>
      <w:r>
        <w:rPr>
          <w:rFonts w:ascii="Arial" w:hAnsi="Arial" w:cs="Arial"/>
          <w:sz w:val="20"/>
          <w:szCs w:val="20"/>
        </w:rPr>
        <w:t>Monsieur Jacques ESPITALIER, Président de la commission thématique n°2 relative « aux spécificités régionales et aux solidarités », rappelle la complexité du système Durance</w:t>
      </w:r>
      <w:r w:rsidR="002C4568">
        <w:rPr>
          <w:rFonts w:ascii="Arial" w:hAnsi="Arial" w:cs="Arial"/>
          <w:sz w:val="20"/>
          <w:szCs w:val="20"/>
        </w:rPr>
        <w:t>-</w:t>
      </w:r>
      <w:r>
        <w:rPr>
          <w:rFonts w:ascii="Arial" w:hAnsi="Arial" w:cs="Arial"/>
          <w:sz w:val="20"/>
          <w:szCs w:val="20"/>
        </w:rPr>
        <w:t xml:space="preserve">Verdon et </w:t>
      </w:r>
      <w:r w:rsidR="00F82CAA">
        <w:rPr>
          <w:rFonts w:ascii="Arial" w:hAnsi="Arial" w:cs="Arial"/>
          <w:sz w:val="20"/>
          <w:szCs w:val="20"/>
        </w:rPr>
        <w:t>donc la nécessité d’en comprendre les mécanismes de gestion, étant donné par ailleurs, les nombreux usages de l’eau qui y existent.</w:t>
      </w:r>
    </w:p>
    <w:p w:rsidR="008D51BC" w:rsidRDefault="00F82CAA" w:rsidP="000C4032">
      <w:pPr>
        <w:jc w:val="both"/>
        <w:rPr>
          <w:rFonts w:ascii="Arial" w:hAnsi="Arial" w:cs="Arial"/>
          <w:sz w:val="20"/>
          <w:szCs w:val="20"/>
        </w:rPr>
      </w:pPr>
      <w:r>
        <w:rPr>
          <w:rFonts w:ascii="Arial" w:hAnsi="Arial" w:cs="Arial"/>
          <w:sz w:val="20"/>
          <w:szCs w:val="20"/>
        </w:rPr>
        <w:t xml:space="preserve">Présentation </w:t>
      </w:r>
      <w:r w:rsidR="002C4568">
        <w:rPr>
          <w:rFonts w:ascii="Arial" w:hAnsi="Arial" w:cs="Arial"/>
          <w:sz w:val="20"/>
          <w:szCs w:val="20"/>
        </w:rPr>
        <w:t xml:space="preserve">de l’étude </w:t>
      </w:r>
      <w:r>
        <w:rPr>
          <w:rFonts w:ascii="Arial" w:hAnsi="Arial" w:cs="Arial"/>
          <w:sz w:val="20"/>
          <w:szCs w:val="20"/>
        </w:rPr>
        <w:t>par Philippe PICON, SMAVD.</w:t>
      </w:r>
    </w:p>
    <w:p w:rsidR="00F82CAA" w:rsidRDefault="00F82CAA" w:rsidP="000C4032">
      <w:pPr>
        <w:jc w:val="both"/>
        <w:rPr>
          <w:rFonts w:ascii="Arial" w:hAnsi="Arial" w:cs="Arial"/>
          <w:sz w:val="20"/>
          <w:szCs w:val="20"/>
        </w:rPr>
      </w:pPr>
      <w:r>
        <w:rPr>
          <w:rFonts w:ascii="Arial" w:hAnsi="Arial" w:cs="Arial"/>
          <w:sz w:val="20"/>
          <w:szCs w:val="20"/>
        </w:rPr>
        <w:t>Suite à la présentation, Monsieur ESPITALIER conclue sur le besoin d’implication des gestionnaires qui sera gage de réussite des projets. Il rappelle par ailleurs que les statuts du Parc naturel régional du Verdon seront modifiés pour intégrer la compétence du grand cycle de l’eau et que l’expérience du SAGE Verdon viendra alimenter l’élaboration du SAGE Durance.</w:t>
      </w:r>
    </w:p>
    <w:p w:rsidR="008D51BC" w:rsidRDefault="008D51BC" w:rsidP="000C4032">
      <w:pPr>
        <w:jc w:val="both"/>
        <w:rPr>
          <w:rFonts w:ascii="Arial" w:hAnsi="Arial" w:cs="Arial"/>
          <w:sz w:val="20"/>
          <w:szCs w:val="20"/>
        </w:rPr>
      </w:pPr>
    </w:p>
    <w:p w:rsidR="00F82CAA" w:rsidRDefault="00F82CAA" w:rsidP="00F82CAA">
      <w:pPr>
        <w:ind w:left="705"/>
        <w:jc w:val="both"/>
        <w:rPr>
          <w:rFonts w:ascii="Arial" w:hAnsi="Arial" w:cs="Arial"/>
          <w:sz w:val="20"/>
          <w:szCs w:val="20"/>
        </w:rPr>
      </w:pPr>
      <w:r w:rsidRPr="008D51BC">
        <w:rPr>
          <w:rFonts w:ascii="Arial" w:hAnsi="Arial" w:cs="Arial"/>
          <w:b/>
          <w:sz w:val="20"/>
          <w:szCs w:val="20"/>
        </w:rPr>
        <w:t xml:space="preserve">Lancement </w:t>
      </w:r>
      <w:r>
        <w:rPr>
          <w:rFonts w:ascii="Arial" w:hAnsi="Arial" w:cs="Arial"/>
          <w:b/>
          <w:sz w:val="20"/>
          <w:szCs w:val="20"/>
        </w:rPr>
        <w:t>du Plan régional d’adaptation au changement climatique : partenariat avec le GREC PACA</w:t>
      </w:r>
      <w:r>
        <w:rPr>
          <w:rFonts w:ascii="Arial" w:hAnsi="Arial" w:cs="Arial"/>
          <w:sz w:val="20"/>
          <w:szCs w:val="20"/>
        </w:rPr>
        <w:t>.</w:t>
      </w:r>
    </w:p>
    <w:p w:rsidR="00F82CAA" w:rsidRDefault="00F82CAA" w:rsidP="000C4032">
      <w:pPr>
        <w:jc w:val="both"/>
        <w:rPr>
          <w:rFonts w:ascii="Arial" w:hAnsi="Arial" w:cs="Arial"/>
          <w:sz w:val="20"/>
          <w:szCs w:val="20"/>
        </w:rPr>
      </w:pPr>
      <w:r>
        <w:rPr>
          <w:rFonts w:ascii="Arial" w:hAnsi="Arial" w:cs="Arial"/>
          <w:sz w:val="20"/>
          <w:szCs w:val="20"/>
        </w:rPr>
        <w:lastRenderedPageBreak/>
        <w:t>Monsieur Louis MICHEL</w:t>
      </w:r>
      <w:r w:rsidR="00C07D9B">
        <w:rPr>
          <w:rFonts w:ascii="Arial" w:hAnsi="Arial" w:cs="Arial"/>
          <w:sz w:val="20"/>
          <w:szCs w:val="20"/>
        </w:rPr>
        <w:t>, Président de la commission thématique n°3 relative « aux stratégies d’adaptation et à la prospective »</w:t>
      </w:r>
      <w:r>
        <w:rPr>
          <w:rFonts w:ascii="Arial" w:hAnsi="Arial" w:cs="Arial"/>
          <w:sz w:val="20"/>
          <w:szCs w:val="20"/>
        </w:rPr>
        <w:t xml:space="preserve"> introduit ce point en rappelant que la croissance démographique et l’évolution des consommations d’eau dans un contexte de changement climatique avéré rendent nécessaire l’élaboration d’un plan régional d’adaptation</w:t>
      </w:r>
      <w:r w:rsidR="00C07D9B">
        <w:rPr>
          <w:rFonts w:ascii="Arial" w:hAnsi="Arial" w:cs="Arial"/>
          <w:sz w:val="20"/>
          <w:szCs w:val="20"/>
        </w:rPr>
        <w:t xml:space="preserve"> au changement climatique (PRACC)</w:t>
      </w:r>
      <w:r>
        <w:rPr>
          <w:rFonts w:ascii="Arial" w:hAnsi="Arial" w:cs="Arial"/>
          <w:sz w:val="20"/>
          <w:szCs w:val="20"/>
        </w:rPr>
        <w:t>.</w:t>
      </w:r>
    </w:p>
    <w:p w:rsidR="00C07D9B" w:rsidRDefault="00C07D9B" w:rsidP="000C4032">
      <w:pPr>
        <w:jc w:val="both"/>
        <w:rPr>
          <w:rFonts w:ascii="Arial" w:hAnsi="Arial" w:cs="Arial"/>
          <w:sz w:val="20"/>
          <w:szCs w:val="20"/>
        </w:rPr>
      </w:pPr>
      <w:r>
        <w:rPr>
          <w:rFonts w:ascii="Arial" w:hAnsi="Arial" w:cs="Arial"/>
          <w:sz w:val="20"/>
          <w:szCs w:val="20"/>
        </w:rPr>
        <w:t>Présentation des attendus du PRACC par Christel FRANCART, chargée de mission au Service eau et milieux aquatiques de la Région et Marie LOOTVOET, animatrice du GREC PACA.</w:t>
      </w:r>
    </w:p>
    <w:p w:rsidR="00C07D9B" w:rsidRDefault="00C07D9B" w:rsidP="000C4032">
      <w:pPr>
        <w:jc w:val="both"/>
        <w:rPr>
          <w:rFonts w:ascii="Arial" w:hAnsi="Arial" w:cs="Arial"/>
          <w:sz w:val="20"/>
          <w:szCs w:val="20"/>
        </w:rPr>
      </w:pPr>
      <w:r>
        <w:rPr>
          <w:rFonts w:ascii="Arial" w:hAnsi="Arial" w:cs="Arial"/>
          <w:sz w:val="20"/>
          <w:szCs w:val="20"/>
        </w:rPr>
        <w:t xml:space="preserve">Madame Annick DELHAYE, Vice-Présidente de la Région, déléguée à l’environnement, </w:t>
      </w:r>
      <w:r w:rsidR="00A4259F">
        <w:rPr>
          <w:rFonts w:ascii="Arial" w:hAnsi="Arial" w:cs="Arial"/>
          <w:sz w:val="20"/>
          <w:szCs w:val="20"/>
        </w:rPr>
        <w:t>rappelle que le GREC-PACA est né du souhait de rapprocher la communauté scientifique des gestionnaires et des décideurs afin d’aider ces derniers à mieux appréhender les enjeux du climat et du changement climatique</w:t>
      </w:r>
      <w:r>
        <w:rPr>
          <w:rFonts w:ascii="Arial" w:hAnsi="Arial" w:cs="Arial"/>
          <w:sz w:val="20"/>
          <w:szCs w:val="20"/>
        </w:rPr>
        <w:t>.</w:t>
      </w:r>
    </w:p>
    <w:p w:rsidR="00C07D9B" w:rsidRDefault="00C07D9B" w:rsidP="000C4032">
      <w:pPr>
        <w:jc w:val="both"/>
        <w:rPr>
          <w:rFonts w:ascii="Arial" w:hAnsi="Arial" w:cs="Arial"/>
          <w:sz w:val="20"/>
          <w:szCs w:val="20"/>
        </w:rPr>
      </w:pPr>
      <w:r>
        <w:rPr>
          <w:rFonts w:ascii="Arial" w:hAnsi="Arial" w:cs="Arial"/>
          <w:sz w:val="20"/>
          <w:szCs w:val="20"/>
        </w:rPr>
        <w:t xml:space="preserve">Monsieur André CHANZY, INRA – GREC PACA, </w:t>
      </w:r>
      <w:r w:rsidR="00A4259F">
        <w:rPr>
          <w:rFonts w:ascii="Arial" w:hAnsi="Arial" w:cs="Arial"/>
          <w:sz w:val="20"/>
          <w:szCs w:val="20"/>
        </w:rPr>
        <w:t>précise</w:t>
      </w:r>
      <w:r>
        <w:rPr>
          <w:rFonts w:ascii="Arial" w:hAnsi="Arial" w:cs="Arial"/>
          <w:sz w:val="20"/>
          <w:szCs w:val="20"/>
        </w:rPr>
        <w:t xml:space="preserve"> que l’objectif de modélisation du changement climatique et des moyens d’adaptation, ne se fera qu’avec l’aide et l’implication des territoires pour alimenter l’implémentation des modèles.</w:t>
      </w:r>
      <w:r w:rsidR="00F76957">
        <w:rPr>
          <w:rFonts w:ascii="Arial" w:hAnsi="Arial" w:cs="Arial"/>
          <w:sz w:val="20"/>
          <w:szCs w:val="20"/>
        </w:rPr>
        <w:t xml:space="preserve"> Le groupe Eau du GREC a été mis en place avec des gestionnaires locaux pour répondre, entre autre, à la question du devenir des ressources et de leur qualité biologique dans un contexte d’augmentation des températures. Le travail qui sera mené concernera des échelles de temps longues : prospective à 2030/50 mais également 2070/2100.</w:t>
      </w:r>
    </w:p>
    <w:p w:rsidR="00C07D9B" w:rsidRDefault="00C07D9B" w:rsidP="000C4032">
      <w:pPr>
        <w:jc w:val="both"/>
        <w:rPr>
          <w:rFonts w:ascii="Arial" w:hAnsi="Arial" w:cs="Arial"/>
          <w:sz w:val="20"/>
          <w:szCs w:val="20"/>
        </w:rPr>
      </w:pPr>
    </w:p>
    <w:p w:rsidR="009765D1" w:rsidRDefault="009765D1" w:rsidP="000C4032">
      <w:pPr>
        <w:jc w:val="both"/>
        <w:rPr>
          <w:rFonts w:ascii="Arial" w:hAnsi="Arial" w:cs="Arial"/>
          <w:sz w:val="20"/>
          <w:szCs w:val="20"/>
        </w:rPr>
      </w:pPr>
      <w:r w:rsidRPr="008D51BC">
        <w:rPr>
          <w:rFonts w:ascii="Arial" w:hAnsi="Arial" w:cs="Arial"/>
          <w:sz w:val="20"/>
          <w:szCs w:val="20"/>
        </w:rPr>
        <w:t>L’ensemble des sujets à l’ordre du jour ayant été abordés, la séance est levée à 1</w:t>
      </w:r>
      <w:r w:rsidR="008D51BC">
        <w:rPr>
          <w:rFonts w:ascii="Arial" w:hAnsi="Arial" w:cs="Arial"/>
          <w:sz w:val="20"/>
          <w:szCs w:val="20"/>
        </w:rPr>
        <w:t>2</w:t>
      </w:r>
      <w:r w:rsidRPr="008D51BC">
        <w:rPr>
          <w:rFonts w:ascii="Arial" w:hAnsi="Arial" w:cs="Arial"/>
          <w:sz w:val="20"/>
          <w:szCs w:val="20"/>
        </w:rPr>
        <w:t>h</w:t>
      </w:r>
      <w:r w:rsidR="008D51BC">
        <w:rPr>
          <w:rFonts w:ascii="Arial" w:hAnsi="Arial" w:cs="Arial"/>
          <w:sz w:val="20"/>
          <w:szCs w:val="20"/>
        </w:rPr>
        <w:t>20</w:t>
      </w:r>
      <w:r w:rsidRPr="008D51BC">
        <w:rPr>
          <w:rFonts w:ascii="Arial" w:hAnsi="Arial" w:cs="Arial"/>
          <w:sz w:val="20"/>
          <w:szCs w:val="20"/>
        </w:rPr>
        <w:t>.</w:t>
      </w:r>
    </w:p>
    <w:p w:rsidR="009765D1" w:rsidRPr="00D64BCF" w:rsidRDefault="009765D1" w:rsidP="000C4032">
      <w:pPr>
        <w:jc w:val="both"/>
        <w:rPr>
          <w:rFonts w:ascii="Arial" w:hAnsi="Arial" w:cs="Arial"/>
          <w:sz w:val="20"/>
          <w:szCs w:val="20"/>
        </w:rPr>
      </w:pPr>
    </w:p>
    <w:p w:rsidR="00B04E86" w:rsidRPr="000301D6" w:rsidRDefault="006D3BD9" w:rsidP="006D3BD9">
      <w:pPr>
        <w:tabs>
          <w:tab w:val="left" w:pos="6379"/>
        </w:tabs>
        <w:rPr>
          <w:rFonts w:ascii="Arial" w:hAnsi="Arial" w:cs="Arial"/>
        </w:rPr>
      </w:pPr>
      <w:r w:rsidRPr="005773C0">
        <w:rPr>
          <w:sz w:val="24"/>
          <w:szCs w:val="24"/>
        </w:rPr>
        <w:tab/>
      </w:r>
      <w:r w:rsidR="00B04E86" w:rsidRPr="000301D6">
        <w:rPr>
          <w:rFonts w:ascii="Arial" w:hAnsi="Arial" w:cs="Arial"/>
        </w:rPr>
        <w:t>La Présidente</w:t>
      </w:r>
    </w:p>
    <w:p w:rsidR="00616F40" w:rsidRDefault="00B04E86" w:rsidP="006D3BD9">
      <w:pPr>
        <w:tabs>
          <w:tab w:val="left" w:pos="6379"/>
        </w:tabs>
        <w:rPr>
          <w:rFonts w:ascii="Arial" w:hAnsi="Arial" w:cs="Arial"/>
        </w:rPr>
      </w:pPr>
      <w:r w:rsidRPr="000301D6">
        <w:rPr>
          <w:rFonts w:ascii="Arial" w:hAnsi="Arial" w:cs="Arial"/>
        </w:rPr>
        <w:tab/>
      </w:r>
      <w:r w:rsidR="006D3BD9" w:rsidRPr="000301D6">
        <w:rPr>
          <w:rFonts w:ascii="Arial" w:hAnsi="Arial" w:cs="Arial"/>
        </w:rPr>
        <w:t>S</w:t>
      </w:r>
      <w:r w:rsidRPr="000301D6">
        <w:rPr>
          <w:rFonts w:ascii="Arial" w:hAnsi="Arial" w:cs="Arial"/>
        </w:rPr>
        <w:t>igné Elsa DI MEO</w:t>
      </w:r>
    </w:p>
    <w:p w:rsidR="00616E0E" w:rsidRDefault="00616E0E" w:rsidP="006D3BD9">
      <w:pPr>
        <w:tabs>
          <w:tab w:val="left" w:pos="6379"/>
        </w:tabs>
        <w:rPr>
          <w:rFonts w:ascii="Arial" w:hAnsi="Arial" w:cs="Arial"/>
        </w:rPr>
      </w:pPr>
      <w:r>
        <w:rPr>
          <w:noProof/>
          <w:lang w:eastAsia="fr-FR"/>
        </w:rPr>
        <w:drawing>
          <wp:anchor distT="0" distB="0" distL="114300" distR="114300" simplePos="0" relativeHeight="251659264" behindDoc="1" locked="0" layoutInCell="1" allowOverlap="1" wp14:anchorId="7578E95F" wp14:editId="3A9DD37A">
            <wp:simplePos x="0" y="0"/>
            <wp:positionH relativeFrom="margin">
              <wp:posOffset>3648075</wp:posOffset>
            </wp:positionH>
            <wp:positionV relativeFrom="paragraph">
              <wp:posOffset>6350</wp:posOffset>
            </wp:positionV>
            <wp:extent cx="1996440" cy="879475"/>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879475"/>
                    </a:xfrm>
                    <a:prstGeom prst="rect">
                      <a:avLst/>
                    </a:prstGeom>
                    <a:noFill/>
                  </pic:spPr>
                </pic:pic>
              </a:graphicData>
            </a:graphic>
            <wp14:sizeRelH relativeFrom="page">
              <wp14:pctWidth>0</wp14:pctWidth>
            </wp14:sizeRelH>
            <wp14:sizeRelV relativeFrom="page">
              <wp14:pctHeight>0</wp14:pctHeight>
            </wp14:sizeRelV>
          </wp:anchor>
        </w:drawing>
      </w:r>
    </w:p>
    <w:p w:rsidR="00616E0E" w:rsidRPr="000301D6" w:rsidRDefault="00616E0E" w:rsidP="006D3BD9">
      <w:pPr>
        <w:tabs>
          <w:tab w:val="left" w:pos="6379"/>
        </w:tabs>
        <w:rPr>
          <w:rFonts w:ascii="Arial" w:hAnsi="Arial" w:cs="Arial"/>
        </w:rPr>
      </w:pPr>
    </w:p>
    <w:sectPr w:rsidR="00616E0E" w:rsidRPr="000301D6" w:rsidSect="00D64BCF">
      <w:headerReference w:type="default" r:id="rId9"/>
      <w:footerReference w:type="even" r:id="rId10"/>
      <w:footerReference w:type="default" r:id="rId11"/>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AF5" w:rsidRDefault="00453AF5" w:rsidP="006D3BD9">
      <w:pPr>
        <w:spacing w:after="0" w:line="240" w:lineRule="auto"/>
      </w:pPr>
      <w:r>
        <w:separator/>
      </w:r>
    </w:p>
  </w:endnote>
  <w:endnote w:type="continuationSeparator" w:id="0">
    <w:p w:rsidR="00453AF5" w:rsidRDefault="00453AF5" w:rsidP="006D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290545"/>
      <w:docPartObj>
        <w:docPartGallery w:val="Page Numbers (Bottom of Page)"/>
        <w:docPartUnique/>
      </w:docPartObj>
    </w:sdtPr>
    <w:sdtEndPr>
      <w:rPr>
        <w:sz w:val="18"/>
        <w:szCs w:val="18"/>
      </w:rPr>
    </w:sdtEndPr>
    <w:sdtContent>
      <w:sdt>
        <w:sdtPr>
          <w:rPr>
            <w:sz w:val="18"/>
            <w:szCs w:val="18"/>
          </w:rPr>
          <w:id w:val="1014041947"/>
          <w:docPartObj>
            <w:docPartGallery w:val="Page Numbers (Top of Page)"/>
            <w:docPartUnique/>
          </w:docPartObj>
        </w:sdtPr>
        <w:sdtEndPr/>
        <w:sdtContent>
          <w:p w:rsidR="000C5B7A" w:rsidRPr="000C5B7A" w:rsidRDefault="000C5B7A" w:rsidP="000C5B7A">
            <w:pPr>
              <w:pStyle w:val="Pieddepage"/>
              <w:pBdr>
                <w:top w:val="single" w:sz="4" w:space="1" w:color="auto"/>
              </w:pBdr>
              <w:jc w:val="right"/>
              <w:rPr>
                <w:sz w:val="8"/>
                <w:szCs w:val="8"/>
              </w:rPr>
            </w:pPr>
          </w:p>
          <w:p w:rsidR="000C5B7A" w:rsidRPr="000C5B7A" w:rsidRDefault="000C5B7A" w:rsidP="000C5B7A">
            <w:pPr>
              <w:pStyle w:val="Pieddepage"/>
              <w:pBdr>
                <w:top w:val="single" w:sz="4" w:space="1" w:color="auto"/>
              </w:pBdr>
              <w:jc w:val="right"/>
              <w:rPr>
                <w:sz w:val="18"/>
                <w:szCs w:val="18"/>
              </w:rPr>
            </w:pPr>
            <w:r w:rsidRPr="000C5B7A">
              <w:rPr>
                <w:sz w:val="18"/>
                <w:szCs w:val="18"/>
              </w:rPr>
              <w:t xml:space="preserve">Page </w:t>
            </w:r>
            <w:r w:rsidRPr="000C5B7A">
              <w:rPr>
                <w:bCs/>
                <w:sz w:val="18"/>
                <w:szCs w:val="18"/>
              </w:rPr>
              <w:fldChar w:fldCharType="begin"/>
            </w:r>
            <w:r w:rsidRPr="000C5B7A">
              <w:rPr>
                <w:bCs/>
                <w:sz w:val="18"/>
                <w:szCs w:val="18"/>
              </w:rPr>
              <w:instrText>PAGE</w:instrText>
            </w:r>
            <w:r w:rsidRPr="000C5B7A">
              <w:rPr>
                <w:bCs/>
                <w:sz w:val="18"/>
                <w:szCs w:val="18"/>
              </w:rPr>
              <w:fldChar w:fldCharType="separate"/>
            </w:r>
            <w:r w:rsidR="00E02C93">
              <w:rPr>
                <w:bCs/>
                <w:noProof/>
                <w:sz w:val="18"/>
                <w:szCs w:val="18"/>
              </w:rPr>
              <w:t>2</w:t>
            </w:r>
            <w:r w:rsidRPr="000C5B7A">
              <w:rPr>
                <w:bCs/>
                <w:sz w:val="18"/>
                <w:szCs w:val="18"/>
              </w:rPr>
              <w:fldChar w:fldCharType="end"/>
            </w:r>
            <w:r w:rsidRPr="000C5B7A">
              <w:rPr>
                <w:sz w:val="18"/>
                <w:szCs w:val="18"/>
              </w:rPr>
              <w:t xml:space="preserve"> sur </w:t>
            </w:r>
            <w:r w:rsidRPr="000C5B7A">
              <w:rPr>
                <w:bCs/>
                <w:sz w:val="18"/>
                <w:szCs w:val="18"/>
              </w:rPr>
              <w:fldChar w:fldCharType="begin"/>
            </w:r>
            <w:r w:rsidRPr="000C5B7A">
              <w:rPr>
                <w:bCs/>
                <w:sz w:val="18"/>
                <w:szCs w:val="18"/>
              </w:rPr>
              <w:instrText>NUMPAGES</w:instrText>
            </w:r>
            <w:r w:rsidRPr="000C5B7A">
              <w:rPr>
                <w:bCs/>
                <w:sz w:val="18"/>
                <w:szCs w:val="18"/>
              </w:rPr>
              <w:fldChar w:fldCharType="separate"/>
            </w:r>
            <w:r w:rsidR="00E02C93">
              <w:rPr>
                <w:bCs/>
                <w:noProof/>
                <w:sz w:val="18"/>
                <w:szCs w:val="18"/>
              </w:rPr>
              <w:t>4</w:t>
            </w:r>
            <w:r w:rsidRPr="000C5B7A">
              <w:rPr>
                <w:bCs/>
                <w:sz w:val="18"/>
                <w:szCs w:val="18"/>
              </w:rPr>
              <w:fldChar w:fldCharType="end"/>
            </w:r>
          </w:p>
        </w:sdtContent>
      </w:sdt>
    </w:sdtContent>
  </w:sdt>
  <w:p w:rsidR="000C5B7A" w:rsidRDefault="000C5B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154209"/>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0C5B7A" w:rsidRPr="000C5B7A" w:rsidRDefault="000C5B7A" w:rsidP="000C5B7A">
            <w:pPr>
              <w:pStyle w:val="Pieddepage"/>
              <w:pBdr>
                <w:top w:val="single" w:sz="4" w:space="1" w:color="auto"/>
              </w:pBdr>
              <w:jc w:val="right"/>
              <w:rPr>
                <w:sz w:val="8"/>
                <w:szCs w:val="8"/>
              </w:rPr>
            </w:pPr>
          </w:p>
          <w:p w:rsidR="000C5B7A" w:rsidRPr="000C5B7A" w:rsidRDefault="000C5B7A" w:rsidP="000C5B7A">
            <w:pPr>
              <w:pStyle w:val="Pieddepage"/>
              <w:pBdr>
                <w:top w:val="single" w:sz="4" w:space="1" w:color="auto"/>
              </w:pBdr>
              <w:jc w:val="right"/>
              <w:rPr>
                <w:sz w:val="18"/>
                <w:szCs w:val="18"/>
              </w:rPr>
            </w:pPr>
            <w:r w:rsidRPr="000C5B7A">
              <w:rPr>
                <w:sz w:val="18"/>
                <w:szCs w:val="18"/>
              </w:rPr>
              <w:t xml:space="preserve">Page </w:t>
            </w:r>
            <w:r w:rsidRPr="000C5B7A">
              <w:rPr>
                <w:bCs/>
                <w:sz w:val="18"/>
                <w:szCs w:val="18"/>
              </w:rPr>
              <w:fldChar w:fldCharType="begin"/>
            </w:r>
            <w:r w:rsidRPr="000C5B7A">
              <w:rPr>
                <w:bCs/>
                <w:sz w:val="18"/>
                <w:szCs w:val="18"/>
              </w:rPr>
              <w:instrText>PAGE</w:instrText>
            </w:r>
            <w:r w:rsidRPr="000C5B7A">
              <w:rPr>
                <w:bCs/>
                <w:sz w:val="18"/>
                <w:szCs w:val="18"/>
              </w:rPr>
              <w:fldChar w:fldCharType="separate"/>
            </w:r>
            <w:r w:rsidR="00E02C93">
              <w:rPr>
                <w:bCs/>
                <w:noProof/>
                <w:sz w:val="18"/>
                <w:szCs w:val="18"/>
              </w:rPr>
              <w:t>3</w:t>
            </w:r>
            <w:r w:rsidRPr="000C5B7A">
              <w:rPr>
                <w:bCs/>
                <w:sz w:val="18"/>
                <w:szCs w:val="18"/>
              </w:rPr>
              <w:fldChar w:fldCharType="end"/>
            </w:r>
            <w:r w:rsidRPr="000C5B7A">
              <w:rPr>
                <w:sz w:val="18"/>
                <w:szCs w:val="18"/>
              </w:rPr>
              <w:t xml:space="preserve"> sur </w:t>
            </w:r>
            <w:r w:rsidRPr="000C5B7A">
              <w:rPr>
                <w:bCs/>
                <w:sz w:val="18"/>
                <w:szCs w:val="18"/>
              </w:rPr>
              <w:fldChar w:fldCharType="begin"/>
            </w:r>
            <w:r w:rsidRPr="000C5B7A">
              <w:rPr>
                <w:bCs/>
                <w:sz w:val="18"/>
                <w:szCs w:val="18"/>
              </w:rPr>
              <w:instrText>NUMPAGES</w:instrText>
            </w:r>
            <w:r w:rsidRPr="000C5B7A">
              <w:rPr>
                <w:bCs/>
                <w:sz w:val="18"/>
                <w:szCs w:val="18"/>
              </w:rPr>
              <w:fldChar w:fldCharType="separate"/>
            </w:r>
            <w:r w:rsidR="00E02C93">
              <w:rPr>
                <w:bCs/>
                <w:noProof/>
                <w:sz w:val="18"/>
                <w:szCs w:val="18"/>
              </w:rPr>
              <w:t>4</w:t>
            </w:r>
            <w:r w:rsidRPr="000C5B7A">
              <w:rPr>
                <w:bCs/>
                <w:sz w:val="18"/>
                <w:szCs w:val="18"/>
              </w:rPr>
              <w:fldChar w:fldCharType="end"/>
            </w:r>
          </w:p>
        </w:sdtContent>
      </w:sdt>
    </w:sdtContent>
  </w:sdt>
  <w:p w:rsidR="000C5B7A" w:rsidRDefault="000C5B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AF5" w:rsidRDefault="00453AF5" w:rsidP="006D3BD9">
      <w:pPr>
        <w:spacing w:after="0" w:line="240" w:lineRule="auto"/>
      </w:pPr>
      <w:r>
        <w:separator/>
      </w:r>
    </w:p>
  </w:footnote>
  <w:footnote w:type="continuationSeparator" w:id="0">
    <w:p w:rsidR="00453AF5" w:rsidRDefault="00453AF5" w:rsidP="006D3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D9" w:rsidRDefault="006D3BD9">
    <w:pPr>
      <w:pStyle w:val="En-tte"/>
    </w:pPr>
    <w:r w:rsidRPr="00A57FEF">
      <w:rPr>
        <w:noProof/>
        <w:lang w:eastAsia="fr-FR"/>
      </w:rPr>
      <w:drawing>
        <wp:inline distT="0" distB="0" distL="0" distR="0" wp14:anchorId="741069BC" wp14:editId="34B54DAE">
          <wp:extent cx="1866856" cy="924471"/>
          <wp:effectExtent l="0" t="0" r="63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911107" cy="946384"/>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r w:rsidRPr="006D3BD9">
      <w:rPr>
        <w:noProof/>
        <w:lang w:eastAsia="fr-FR"/>
      </w:rPr>
      <w:drawing>
        <wp:inline distT="0" distB="0" distL="0" distR="0">
          <wp:extent cx="1008156" cy="1209159"/>
          <wp:effectExtent l="0" t="0" r="1905" b="0"/>
          <wp:docPr id="4" name="Image 4" descr="O:\DEA\SEMA\GRANDS PROJETS\SOURSE\AGORA\Communication\Logos\Logos officiels\AGORA_Logo formule fond couleu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EA\SEMA\GRANDS PROJETS\SOURSE\AGORA\Communication\Logos\Logos officiels\AGORA_Logo formule fond couleur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9095" cy="1258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F6251"/>
    <w:multiLevelType w:val="hybridMultilevel"/>
    <w:tmpl w:val="2C7E5F3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F791B53"/>
    <w:multiLevelType w:val="hybridMultilevel"/>
    <w:tmpl w:val="D0361F16"/>
    <w:lvl w:ilvl="0" w:tplc="7C4CCD96">
      <w:start w:val="1"/>
      <w:numFmt w:val="bullet"/>
      <w:lvlText w:val="-"/>
      <w:lvlJc w:val="left"/>
      <w:pPr>
        <w:ind w:left="1428" w:hanging="360"/>
      </w:pPr>
      <w:rPr>
        <w:rFonts w:ascii="Times New Roman"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C9154FE"/>
    <w:multiLevelType w:val="hybridMultilevel"/>
    <w:tmpl w:val="99281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F4CF8"/>
    <w:multiLevelType w:val="hybridMultilevel"/>
    <w:tmpl w:val="1ADE2E2A"/>
    <w:lvl w:ilvl="0" w:tplc="9F062C04">
      <w:start w:val="8"/>
      <w:numFmt w:val="bullet"/>
      <w:lvlText w:val="-"/>
      <w:lvlJc w:val="left"/>
      <w:pPr>
        <w:ind w:left="1065" w:hanging="360"/>
      </w:pPr>
      <w:rPr>
        <w:rFonts w:ascii="Calibri" w:eastAsiaTheme="minorHAnsi" w:hAnsi="Calibri" w:cstheme="minorBid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6D813C71"/>
    <w:multiLevelType w:val="hybridMultilevel"/>
    <w:tmpl w:val="04E40F86"/>
    <w:lvl w:ilvl="0" w:tplc="7C4CCD9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4E575E"/>
    <w:multiLevelType w:val="hybridMultilevel"/>
    <w:tmpl w:val="5FFEF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0"/>
    <w:rsid w:val="000301D6"/>
    <w:rsid w:val="000C4032"/>
    <w:rsid w:val="000C5B7A"/>
    <w:rsid w:val="00123CF1"/>
    <w:rsid w:val="00137A88"/>
    <w:rsid w:val="002055D5"/>
    <w:rsid w:val="0023292F"/>
    <w:rsid w:val="002B1A7A"/>
    <w:rsid w:val="002C4568"/>
    <w:rsid w:val="003E315A"/>
    <w:rsid w:val="00453AF5"/>
    <w:rsid w:val="004A0D5C"/>
    <w:rsid w:val="004D2AD6"/>
    <w:rsid w:val="0052483B"/>
    <w:rsid w:val="005300ED"/>
    <w:rsid w:val="005773C0"/>
    <w:rsid w:val="00581640"/>
    <w:rsid w:val="00586FCA"/>
    <w:rsid w:val="0058762C"/>
    <w:rsid w:val="00595B97"/>
    <w:rsid w:val="005B361F"/>
    <w:rsid w:val="00616E0E"/>
    <w:rsid w:val="00616F40"/>
    <w:rsid w:val="00643CEC"/>
    <w:rsid w:val="0069628F"/>
    <w:rsid w:val="006D3BD9"/>
    <w:rsid w:val="0073715D"/>
    <w:rsid w:val="00763D3F"/>
    <w:rsid w:val="007C7B1A"/>
    <w:rsid w:val="008D51BC"/>
    <w:rsid w:val="008E6AA8"/>
    <w:rsid w:val="008F14D9"/>
    <w:rsid w:val="009117B6"/>
    <w:rsid w:val="00914702"/>
    <w:rsid w:val="00953AF3"/>
    <w:rsid w:val="009765D1"/>
    <w:rsid w:val="00982B19"/>
    <w:rsid w:val="009A4EE3"/>
    <w:rsid w:val="009B0622"/>
    <w:rsid w:val="009D0002"/>
    <w:rsid w:val="00A273AD"/>
    <w:rsid w:val="00A4259F"/>
    <w:rsid w:val="00A4319E"/>
    <w:rsid w:val="00AE3D88"/>
    <w:rsid w:val="00B04E86"/>
    <w:rsid w:val="00B12DA4"/>
    <w:rsid w:val="00B74D5A"/>
    <w:rsid w:val="00C07D9B"/>
    <w:rsid w:val="00D26F29"/>
    <w:rsid w:val="00D64BCF"/>
    <w:rsid w:val="00E02C93"/>
    <w:rsid w:val="00E31899"/>
    <w:rsid w:val="00E773A1"/>
    <w:rsid w:val="00E77C44"/>
    <w:rsid w:val="00E95C8A"/>
    <w:rsid w:val="00EE6829"/>
    <w:rsid w:val="00F76957"/>
    <w:rsid w:val="00F82CAA"/>
    <w:rsid w:val="00F90025"/>
    <w:rsid w:val="00FB3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368E48-C95B-4AFF-A58A-19702B96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3BD9"/>
    <w:pPr>
      <w:tabs>
        <w:tab w:val="center" w:pos="4536"/>
        <w:tab w:val="right" w:pos="9072"/>
      </w:tabs>
      <w:spacing w:after="0" w:line="240" w:lineRule="auto"/>
    </w:pPr>
  </w:style>
  <w:style w:type="character" w:customStyle="1" w:styleId="En-tteCar">
    <w:name w:val="En-tête Car"/>
    <w:basedOn w:val="Policepardfaut"/>
    <w:link w:val="En-tte"/>
    <w:uiPriority w:val="99"/>
    <w:rsid w:val="006D3BD9"/>
  </w:style>
  <w:style w:type="paragraph" w:styleId="Pieddepage">
    <w:name w:val="footer"/>
    <w:basedOn w:val="Normal"/>
    <w:link w:val="PieddepageCar"/>
    <w:uiPriority w:val="99"/>
    <w:unhideWhenUsed/>
    <w:rsid w:val="006D3B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3BD9"/>
  </w:style>
  <w:style w:type="paragraph" w:styleId="Textedebulles">
    <w:name w:val="Balloon Text"/>
    <w:basedOn w:val="Normal"/>
    <w:link w:val="TextedebullesCar"/>
    <w:uiPriority w:val="99"/>
    <w:semiHidden/>
    <w:unhideWhenUsed/>
    <w:rsid w:val="006D3B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3BD9"/>
    <w:rPr>
      <w:rFonts w:ascii="Segoe UI" w:hAnsi="Segoe UI" w:cs="Segoe UI"/>
      <w:sz w:val="18"/>
      <w:szCs w:val="18"/>
    </w:rPr>
  </w:style>
  <w:style w:type="paragraph" w:styleId="Paragraphedeliste">
    <w:name w:val="List Paragraph"/>
    <w:basedOn w:val="Normal"/>
    <w:uiPriority w:val="34"/>
    <w:qFormat/>
    <w:rsid w:val="00577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06696">
      <w:bodyDiv w:val="1"/>
      <w:marLeft w:val="0"/>
      <w:marRight w:val="0"/>
      <w:marTop w:val="0"/>
      <w:marBottom w:val="0"/>
      <w:divBdr>
        <w:top w:val="none" w:sz="0" w:space="0" w:color="auto"/>
        <w:left w:val="none" w:sz="0" w:space="0" w:color="auto"/>
        <w:bottom w:val="none" w:sz="0" w:space="0" w:color="auto"/>
        <w:right w:val="none" w:sz="0" w:space="0" w:color="auto"/>
      </w:divBdr>
      <w:divsChild>
        <w:div w:id="1716388308">
          <w:marLeft w:val="0"/>
          <w:marRight w:val="0"/>
          <w:marTop w:val="0"/>
          <w:marBottom w:val="0"/>
          <w:divBdr>
            <w:top w:val="none" w:sz="0" w:space="0" w:color="auto"/>
            <w:left w:val="none" w:sz="0" w:space="0" w:color="auto"/>
            <w:bottom w:val="none" w:sz="0" w:space="0" w:color="auto"/>
            <w:right w:val="none" w:sz="0" w:space="0" w:color="auto"/>
          </w:divBdr>
          <w:divsChild>
            <w:div w:id="814495534">
              <w:marLeft w:val="0"/>
              <w:marRight w:val="0"/>
              <w:marTop w:val="450"/>
              <w:marBottom w:val="0"/>
              <w:divBdr>
                <w:top w:val="none" w:sz="0" w:space="0" w:color="auto"/>
                <w:left w:val="none" w:sz="0" w:space="0" w:color="auto"/>
                <w:bottom w:val="none" w:sz="0" w:space="0" w:color="auto"/>
                <w:right w:val="none" w:sz="0" w:space="0" w:color="auto"/>
              </w:divBdr>
              <w:divsChild>
                <w:div w:id="1486780155">
                  <w:marLeft w:val="-300"/>
                  <w:marRight w:val="0"/>
                  <w:marTop w:val="0"/>
                  <w:marBottom w:val="0"/>
                  <w:divBdr>
                    <w:top w:val="none" w:sz="0" w:space="0" w:color="auto"/>
                    <w:left w:val="none" w:sz="0" w:space="0" w:color="auto"/>
                    <w:bottom w:val="none" w:sz="0" w:space="0" w:color="auto"/>
                    <w:right w:val="none" w:sz="0" w:space="0" w:color="auto"/>
                  </w:divBdr>
                  <w:divsChild>
                    <w:div w:id="8168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22697">
      <w:bodyDiv w:val="1"/>
      <w:marLeft w:val="0"/>
      <w:marRight w:val="0"/>
      <w:marTop w:val="0"/>
      <w:marBottom w:val="0"/>
      <w:divBdr>
        <w:top w:val="none" w:sz="0" w:space="0" w:color="auto"/>
        <w:left w:val="none" w:sz="0" w:space="0" w:color="auto"/>
        <w:bottom w:val="none" w:sz="0" w:space="0" w:color="auto"/>
        <w:right w:val="none" w:sz="0" w:space="0" w:color="auto"/>
      </w:divBdr>
      <w:divsChild>
        <w:div w:id="933980966">
          <w:marLeft w:val="0"/>
          <w:marRight w:val="0"/>
          <w:marTop w:val="0"/>
          <w:marBottom w:val="300"/>
          <w:divBdr>
            <w:top w:val="single" w:sz="2" w:space="0" w:color="235937"/>
            <w:left w:val="single" w:sz="2" w:space="0" w:color="235937"/>
            <w:bottom w:val="single" w:sz="6" w:space="0" w:color="235937"/>
            <w:right w:val="single" w:sz="2" w:space="0" w:color="23593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153E-7EBE-427E-BC4A-076CD9C2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7453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CRPACA</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FRANCART Christel</dc:creator>
  <cp:keywords/>
  <dc:description/>
  <cp:lastModifiedBy>Delphine RUIZ</cp:lastModifiedBy>
  <cp:revision>2</cp:revision>
  <cp:lastPrinted>2015-08-17T09:35:00Z</cp:lastPrinted>
  <dcterms:created xsi:type="dcterms:W3CDTF">2016-03-09T10:31:00Z</dcterms:created>
  <dcterms:modified xsi:type="dcterms:W3CDTF">2016-03-09T10:31:00Z</dcterms:modified>
</cp:coreProperties>
</file>