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FFA" w:rsidRDefault="00EF0FFA" w:rsidP="00077167">
      <w:pPr>
        <w:spacing w:before="100" w:beforeAutospacing="1" w:after="100" w:afterAutospacing="1" w:line="336" w:lineRule="atLeast"/>
        <w:jc w:val="center"/>
        <w:rPr>
          <w:rFonts w:ascii="Book Antiqua" w:eastAsia="Times New Roman" w:hAnsi="Book Antiqua" w:cs="Times New Roman"/>
          <w:b/>
          <w:bCs/>
          <w:color w:val="737373"/>
          <w:sz w:val="28"/>
          <w:szCs w:val="28"/>
          <w:lang w:eastAsia="fr-FR"/>
        </w:rPr>
      </w:pPr>
      <w:r>
        <w:rPr>
          <w:rFonts w:ascii="Book Antiqua" w:eastAsia="Times New Roman" w:hAnsi="Book Antiqua" w:cs="Times New Roman"/>
          <w:b/>
          <w:bCs/>
          <w:noProof/>
          <w:color w:val="737373"/>
          <w:sz w:val="28"/>
          <w:szCs w:val="28"/>
          <w:lang w:eastAsia="fr-FR"/>
        </w:rPr>
        <w:drawing>
          <wp:inline distT="0" distB="0" distL="0" distR="0">
            <wp:extent cx="1114425" cy="1229603"/>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RP-PA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2739" cy="1249810"/>
                    </a:xfrm>
                    <a:prstGeom prst="rect">
                      <a:avLst/>
                    </a:prstGeom>
                  </pic:spPr>
                </pic:pic>
              </a:graphicData>
            </a:graphic>
          </wp:inline>
        </w:drawing>
      </w:r>
    </w:p>
    <w:p w:rsidR="00077167" w:rsidRDefault="00077167" w:rsidP="00077167">
      <w:pPr>
        <w:spacing w:before="100" w:beforeAutospacing="1" w:after="100" w:afterAutospacing="1" w:line="336" w:lineRule="atLeast"/>
        <w:jc w:val="center"/>
        <w:rPr>
          <w:rFonts w:ascii="Book Antiqua" w:eastAsia="Times New Roman" w:hAnsi="Book Antiqua" w:cs="Times New Roman"/>
          <w:b/>
          <w:bCs/>
          <w:color w:val="737373"/>
          <w:sz w:val="28"/>
          <w:szCs w:val="28"/>
          <w:lang w:eastAsia="fr-FR"/>
        </w:rPr>
      </w:pPr>
      <w:r>
        <w:rPr>
          <w:rFonts w:ascii="Book Antiqua" w:eastAsia="Times New Roman" w:hAnsi="Book Antiqua" w:cs="Times New Roman"/>
          <w:b/>
          <w:bCs/>
          <w:color w:val="737373"/>
          <w:sz w:val="28"/>
          <w:szCs w:val="28"/>
          <w:lang w:eastAsia="fr-FR"/>
        </w:rPr>
        <w:t xml:space="preserve">Préparation du SDAGE 2022-2027 </w:t>
      </w:r>
    </w:p>
    <w:p w:rsidR="00077167" w:rsidRPr="005469B6" w:rsidRDefault="00077167" w:rsidP="005469B6">
      <w:pPr>
        <w:spacing w:before="100" w:beforeAutospacing="1" w:after="100" w:afterAutospacing="1" w:line="336" w:lineRule="atLeast"/>
        <w:jc w:val="center"/>
        <w:rPr>
          <w:rFonts w:ascii="Book Antiqua" w:eastAsia="Times New Roman" w:hAnsi="Book Antiqua" w:cs="Times New Roman"/>
          <w:b/>
          <w:bCs/>
          <w:color w:val="737373"/>
          <w:sz w:val="24"/>
          <w:szCs w:val="24"/>
          <w:lang w:eastAsia="fr-FR"/>
        </w:rPr>
      </w:pPr>
      <w:r w:rsidRPr="00EF0FFA">
        <w:rPr>
          <w:rFonts w:ascii="Book Antiqua" w:eastAsia="Times New Roman" w:hAnsi="Book Antiqua" w:cs="Times New Roman"/>
          <w:b/>
          <w:bCs/>
          <w:color w:val="737373"/>
          <w:sz w:val="24"/>
          <w:szCs w:val="24"/>
          <w:lang w:eastAsia="fr-FR"/>
        </w:rPr>
        <w:t>Actualisation de l’évaluation du Risque de Non Atteinte des Objectifs Environnementaux (RNAOE)</w:t>
      </w:r>
    </w:p>
    <w:p w:rsidR="00077167" w:rsidRPr="00EF0FFA" w:rsidRDefault="00077167" w:rsidP="00077167">
      <w:pPr>
        <w:spacing w:before="100" w:beforeAutospacing="1" w:after="100" w:afterAutospacing="1" w:line="336" w:lineRule="atLeast"/>
        <w:rPr>
          <w:rFonts w:ascii="Book Antiqua" w:eastAsia="Times New Roman" w:hAnsi="Book Antiqua" w:cs="Times New Roman"/>
          <w:bCs/>
          <w:color w:val="737373"/>
          <w:lang w:eastAsia="fr-FR"/>
        </w:rPr>
      </w:pPr>
      <w:r w:rsidRPr="00EF0FFA">
        <w:rPr>
          <w:rFonts w:ascii="Book Antiqua" w:eastAsia="Times New Roman" w:hAnsi="Book Antiqua" w:cs="Times New Roman"/>
          <w:bCs/>
          <w:color w:val="737373"/>
          <w:lang w:eastAsia="fr-FR"/>
        </w:rPr>
        <w:t xml:space="preserve">Le but de cette matinée d’informations et d’échanges </w:t>
      </w:r>
      <w:r w:rsidR="00EF0FFA" w:rsidRPr="00EF0FFA">
        <w:rPr>
          <w:rFonts w:ascii="Book Antiqua" w:eastAsia="Times New Roman" w:hAnsi="Book Antiqua" w:cs="Times New Roman"/>
          <w:bCs/>
          <w:color w:val="737373"/>
          <w:lang w:eastAsia="fr-FR"/>
        </w:rPr>
        <w:t>a consisté à</w:t>
      </w:r>
      <w:r w:rsidRPr="00EF0FFA">
        <w:rPr>
          <w:rFonts w:ascii="Book Antiqua" w:eastAsia="Times New Roman" w:hAnsi="Book Antiqua" w:cs="Times New Roman"/>
          <w:bCs/>
          <w:color w:val="737373"/>
          <w:lang w:eastAsia="fr-FR"/>
        </w:rPr>
        <w:t xml:space="preserve"> rappeler les objectifs généraux d</w:t>
      </w:r>
      <w:r w:rsidR="00EF0FFA" w:rsidRPr="00EF0FFA">
        <w:rPr>
          <w:rFonts w:ascii="Book Antiqua" w:eastAsia="Times New Roman" w:hAnsi="Book Antiqua" w:cs="Times New Roman"/>
          <w:bCs/>
          <w:color w:val="737373"/>
          <w:lang w:eastAsia="fr-FR"/>
        </w:rPr>
        <w:t>’un</w:t>
      </w:r>
      <w:r w:rsidRPr="00EF0FFA">
        <w:rPr>
          <w:rFonts w:ascii="Book Antiqua" w:eastAsia="Times New Roman" w:hAnsi="Book Antiqua" w:cs="Times New Roman"/>
          <w:bCs/>
          <w:color w:val="737373"/>
          <w:lang w:eastAsia="fr-FR"/>
        </w:rPr>
        <w:t xml:space="preserve"> SDAGE, apporter des éléments de cadrage généraux concernant l’évaluation du RNAOE qui a été réalisée, en présenter la méthodologie appliquée et </w:t>
      </w:r>
      <w:r w:rsidR="00EF0FFA" w:rsidRPr="00EF0FFA">
        <w:rPr>
          <w:rFonts w:ascii="Book Antiqua" w:eastAsia="Times New Roman" w:hAnsi="Book Antiqua" w:cs="Times New Roman"/>
          <w:bCs/>
          <w:color w:val="737373"/>
          <w:lang w:eastAsia="fr-FR"/>
        </w:rPr>
        <w:t xml:space="preserve">surtout </w:t>
      </w:r>
      <w:r w:rsidRPr="00EF0FFA">
        <w:rPr>
          <w:rFonts w:ascii="Book Antiqua" w:eastAsia="Times New Roman" w:hAnsi="Book Antiqua" w:cs="Times New Roman"/>
          <w:bCs/>
          <w:color w:val="737373"/>
          <w:lang w:eastAsia="fr-FR"/>
        </w:rPr>
        <w:t xml:space="preserve">expliciter les attentes </w:t>
      </w:r>
      <w:r w:rsidR="00EF0FFA" w:rsidRPr="00EF0FFA">
        <w:rPr>
          <w:rFonts w:ascii="Book Antiqua" w:eastAsia="Times New Roman" w:hAnsi="Book Antiqua" w:cs="Times New Roman"/>
          <w:bCs/>
          <w:color w:val="737373"/>
          <w:lang w:eastAsia="fr-FR"/>
        </w:rPr>
        <w:t xml:space="preserve">vis-à-vis </w:t>
      </w:r>
      <w:r w:rsidRPr="00EF0FFA">
        <w:rPr>
          <w:rFonts w:ascii="Book Antiqua" w:eastAsia="Times New Roman" w:hAnsi="Book Antiqua" w:cs="Times New Roman"/>
          <w:bCs/>
          <w:color w:val="737373"/>
          <w:lang w:eastAsia="fr-FR"/>
        </w:rPr>
        <w:t>de la consultation publique</w:t>
      </w:r>
      <w:r w:rsidR="00EF0FFA" w:rsidRPr="00EF0FFA">
        <w:rPr>
          <w:rFonts w:ascii="Book Antiqua" w:eastAsia="Times New Roman" w:hAnsi="Book Antiqua" w:cs="Times New Roman"/>
          <w:bCs/>
          <w:color w:val="737373"/>
          <w:lang w:eastAsia="fr-FR"/>
        </w:rPr>
        <w:t xml:space="preserve"> à venir (de Juillet à Octobre 2018).</w:t>
      </w:r>
      <w:r w:rsidRPr="00EF0FFA">
        <w:rPr>
          <w:rFonts w:ascii="Book Antiqua" w:eastAsia="Times New Roman" w:hAnsi="Book Antiqua" w:cs="Times New Roman"/>
          <w:bCs/>
          <w:color w:val="737373"/>
          <w:lang w:eastAsia="fr-FR"/>
        </w:rPr>
        <w:t xml:space="preserve"> </w:t>
      </w:r>
    </w:p>
    <w:p w:rsidR="00E00A62" w:rsidRPr="00E00A62" w:rsidRDefault="00EF0FFA" w:rsidP="00E00A62">
      <w:pPr>
        <w:spacing w:before="100" w:beforeAutospacing="1" w:after="100" w:afterAutospacing="1" w:line="336" w:lineRule="atLeast"/>
        <w:jc w:val="left"/>
        <w:rPr>
          <w:rFonts w:ascii="Book Antiqua" w:eastAsia="Times New Roman" w:hAnsi="Book Antiqua" w:cs="Times New Roman"/>
          <w:color w:val="737373"/>
          <w:sz w:val="24"/>
          <w:szCs w:val="24"/>
          <w:u w:val="single"/>
          <w:lang w:eastAsia="fr-FR"/>
        </w:rPr>
      </w:pPr>
      <w:r w:rsidRPr="00EF0FFA">
        <w:rPr>
          <w:rFonts w:ascii="Book Antiqua" w:eastAsia="Times New Roman" w:hAnsi="Book Antiqua" w:cs="Times New Roman"/>
          <w:b/>
          <w:bCs/>
          <w:color w:val="737373"/>
          <w:sz w:val="24"/>
          <w:szCs w:val="24"/>
          <w:u w:val="single"/>
          <w:lang w:eastAsia="fr-FR"/>
        </w:rPr>
        <w:t xml:space="preserve">Rappel des objectifs généraux - </w:t>
      </w:r>
      <w:r w:rsidR="00E00A62" w:rsidRPr="00E00A62">
        <w:rPr>
          <w:rFonts w:ascii="Book Antiqua" w:eastAsia="Times New Roman" w:hAnsi="Book Antiqua" w:cs="Times New Roman"/>
          <w:b/>
          <w:bCs/>
          <w:color w:val="737373"/>
          <w:sz w:val="24"/>
          <w:szCs w:val="24"/>
          <w:u w:val="single"/>
          <w:lang w:eastAsia="fr-FR"/>
        </w:rPr>
        <w:t>JP. MARTINEZ</w:t>
      </w:r>
      <w:r w:rsidRPr="00EF0FFA">
        <w:rPr>
          <w:rFonts w:ascii="Book Antiqua" w:eastAsia="Times New Roman" w:hAnsi="Book Antiqua" w:cs="Times New Roman"/>
          <w:b/>
          <w:bCs/>
          <w:color w:val="737373"/>
          <w:sz w:val="24"/>
          <w:szCs w:val="24"/>
          <w:u w:val="single"/>
          <w:lang w:eastAsia="fr-FR"/>
        </w:rPr>
        <w:t>/</w:t>
      </w:r>
      <w:r w:rsidR="00E00A62" w:rsidRPr="00E00A62">
        <w:rPr>
          <w:rFonts w:ascii="Book Antiqua" w:eastAsia="Times New Roman" w:hAnsi="Book Antiqua" w:cs="Times New Roman"/>
          <w:b/>
          <w:bCs/>
          <w:color w:val="737373"/>
          <w:sz w:val="24"/>
          <w:szCs w:val="24"/>
          <w:u w:val="single"/>
          <w:lang w:eastAsia="fr-FR"/>
        </w:rPr>
        <w:t>DREAL de Bassin</w:t>
      </w:r>
    </w:p>
    <w:p w:rsidR="00E00A62" w:rsidRPr="00E00A62" w:rsidRDefault="00E00A62" w:rsidP="00EF0FFA">
      <w:pPr>
        <w:spacing w:before="100" w:beforeAutospacing="1" w:after="100" w:afterAutospacing="1" w:line="336" w:lineRule="atLeast"/>
        <w:rPr>
          <w:rFonts w:ascii="Book Antiqua" w:eastAsia="Times New Roman" w:hAnsi="Book Antiqua" w:cs="Times New Roman"/>
          <w:color w:val="737373"/>
          <w:lang w:eastAsia="fr-FR"/>
        </w:rPr>
      </w:pPr>
      <w:r w:rsidRPr="00E00A62">
        <w:rPr>
          <w:rFonts w:ascii="Book Antiqua" w:eastAsia="Times New Roman" w:hAnsi="Book Antiqua" w:cs="Times New Roman"/>
          <w:color w:val="737373"/>
          <w:lang w:eastAsia="fr-FR"/>
        </w:rPr>
        <w:t>Le SDAGE Rhône Méditerranée doit intégrer les différents enjeux de l'eau, dans le but de trouver un équilibre entre préservation des milieux et des usages (Loi de 1992), de répondre aux exigences imposées par la Directive Cadre Européenne sur l'eau (DCE) de 2000 en termes d'atteinte d'un bon état des eaux, et de bien faire le lien avec la gestion du risque inondation (prise en compte des Plans de Gestion du Risque Inondation, dits PGRI) et les actions de reconquête du milieu marin (prise en compte des Plans d'Actions pour le Milieu Marin, dits PAMM).</w:t>
      </w:r>
    </w:p>
    <w:p w:rsidR="00E00A62" w:rsidRPr="00E00A62" w:rsidRDefault="00E00A62" w:rsidP="00EF0FFA">
      <w:pPr>
        <w:spacing w:before="100" w:beforeAutospacing="1" w:after="100" w:afterAutospacing="1" w:line="336" w:lineRule="atLeast"/>
        <w:rPr>
          <w:rFonts w:ascii="Book Antiqua" w:eastAsia="Times New Roman" w:hAnsi="Book Antiqua" w:cs="Times New Roman"/>
          <w:color w:val="737373"/>
          <w:lang w:eastAsia="fr-FR"/>
        </w:rPr>
      </w:pPr>
      <w:r w:rsidRPr="00E00A62">
        <w:rPr>
          <w:rFonts w:ascii="Book Antiqua" w:eastAsia="Times New Roman" w:hAnsi="Book Antiqua" w:cs="Times New Roman"/>
          <w:color w:val="737373"/>
          <w:lang w:eastAsia="fr-FR"/>
        </w:rPr>
        <w:t>Il rappelle que l'atteinte du bon état des eaux contribue à une meilleure salubrité publique (consommation en eau potable, baignade), à l'obtention de milieux naturels plus sûrs vis à vis du risque d'inondation, à répondre aux besoins en eau de qualité des activités économiques (agriculture, tourisme, industriels) et sociales/culturelles (pêche, sports d'eau vive etc.), à l'attractivité des territoires et à la génération d'emplois.</w:t>
      </w:r>
    </w:p>
    <w:p w:rsidR="00E00A62" w:rsidRPr="00E00A62" w:rsidRDefault="00E00A62" w:rsidP="00EF0FFA">
      <w:pPr>
        <w:spacing w:before="100" w:beforeAutospacing="1" w:after="100" w:afterAutospacing="1" w:line="336" w:lineRule="atLeast"/>
        <w:rPr>
          <w:rFonts w:ascii="Book Antiqua" w:eastAsia="Times New Roman" w:hAnsi="Book Antiqua" w:cs="Times New Roman"/>
          <w:color w:val="737373"/>
          <w:lang w:eastAsia="fr-FR"/>
        </w:rPr>
      </w:pPr>
      <w:r w:rsidRPr="00E00A62">
        <w:rPr>
          <w:rFonts w:ascii="Book Antiqua" w:eastAsia="Times New Roman" w:hAnsi="Book Antiqua" w:cs="Times New Roman"/>
          <w:color w:val="737373"/>
          <w:lang w:eastAsia="fr-FR"/>
        </w:rPr>
        <w:t xml:space="preserve">Il précise que le SDAGE Rhône Méditerranée s'appuie sur un Programme de Mesures (PDM) qui est décliné en Plans d'Actions Opérationnels Territorialisés (PAOT) qui permet </w:t>
      </w:r>
      <w:r w:rsidR="009A240F" w:rsidRPr="00EF0FFA">
        <w:rPr>
          <w:rFonts w:ascii="Book Antiqua" w:eastAsia="Times New Roman" w:hAnsi="Book Antiqua" w:cs="Times New Roman"/>
          <w:color w:val="737373"/>
          <w:lang w:eastAsia="fr-FR"/>
        </w:rPr>
        <w:t>lui-même</w:t>
      </w:r>
      <w:r w:rsidRPr="00E00A62">
        <w:rPr>
          <w:rFonts w:ascii="Book Antiqua" w:eastAsia="Times New Roman" w:hAnsi="Book Antiqua" w:cs="Times New Roman"/>
          <w:color w:val="737373"/>
          <w:lang w:eastAsia="fr-FR"/>
        </w:rPr>
        <w:t xml:space="preserve"> la mise en </w:t>
      </w:r>
      <w:r w:rsidR="009A240F" w:rsidRPr="00EF0FFA">
        <w:rPr>
          <w:rFonts w:ascii="Book Antiqua" w:eastAsia="Times New Roman" w:hAnsi="Book Antiqua" w:cs="Times New Roman"/>
          <w:color w:val="737373"/>
          <w:lang w:eastAsia="fr-FR"/>
        </w:rPr>
        <w:t>œuvre</w:t>
      </w:r>
      <w:r w:rsidRPr="00E00A62">
        <w:rPr>
          <w:rFonts w:ascii="Book Antiqua" w:eastAsia="Times New Roman" w:hAnsi="Book Antiqua" w:cs="Times New Roman"/>
          <w:color w:val="737373"/>
          <w:lang w:eastAsia="fr-FR"/>
        </w:rPr>
        <w:t xml:space="preserve"> des actions. A mi-parcours, un bilan est réalisé, l'état des lieux par masse d'eau et pressions significatives est remis à jour afin de contribuer à l'écriture du nouveau SDAGE Rhône Méditerranée, et ainsi de suite.</w:t>
      </w:r>
    </w:p>
    <w:p w:rsidR="005469B6" w:rsidRPr="00E00A62" w:rsidRDefault="00E00A62" w:rsidP="00EF0FFA">
      <w:pPr>
        <w:spacing w:before="100" w:beforeAutospacing="1" w:after="100" w:afterAutospacing="1" w:line="336" w:lineRule="atLeast"/>
        <w:rPr>
          <w:rFonts w:ascii="Book Antiqua" w:eastAsia="Times New Roman" w:hAnsi="Book Antiqua" w:cs="Times New Roman"/>
          <w:color w:val="737373"/>
          <w:lang w:eastAsia="fr-FR"/>
        </w:rPr>
      </w:pPr>
      <w:r w:rsidRPr="00E00A62">
        <w:rPr>
          <w:rFonts w:ascii="Book Antiqua" w:eastAsia="Times New Roman" w:hAnsi="Book Antiqua" w:cs="Times New Roman"/>
          <w:color w:val="737373"/>
          <w:lang w:eastAsia="fr-FR"/>
        </w:rPr>
        <w:t xml:space="preserve">Ainsi, dans cette logique et dynamique, en 2019 sera produit un tableau de bord du SDAGE Rhône Méditerranée 2016-2021 à mi-parcours, ainsi qu'un état des lieux par masse d'eau et pressions significatives. Ceci afin de prévoir le SDAGE 2021-2027 et son Programme de Mesures (PDM) dès 2020, pour une mise en </w:t>
      </w:r>
      <w:r w:rsidR="009A240F" w:rsidRPr="00EF0FFA">
        <w:rPr>
          <w:rFonts w:ascii="Book Antiqua" w:eastAsia="Times New Roman" w:hAnsi="Book Antiqua" w:cs="Times New Roman"/>
          <w:color w:val="737373"/>
          <w:lang w:eastAsia="fr-FR"/>
        </w:rPr>
        <w:t>œuvre</w:t>
      </w:r>
      <w:r w:rsidRPr="00E00A62">
        <w:rPr>
          <w:rFonts w:ascii="Book Antiqua" w:eastAsia="Times New Roman" w:hAnsi="Book Antiqua" w:cs="Times New Roman"/>
          <w:color w:val="737373"/>
          <w:lang w:eastAsia="fr-FR"/>
        </w:rPr>
        <w:t xml:space="preserve"> effective dès 2021. A ce </w:t>
      </w:r>
      <w:r w:rsidR="009A240F" w:rsidRPr="00EF0FFA">
        <w:rPr>
          <w:rFonts w:ascii="Book Antiqua" w:eastAsia="Times New Roman" w:hAnsi="Book Antiqua" w:cs="Times New Roman"/>
          <w:color w:val="737373"/>
          <w:lang w:eastAsia="fr-FR"/>
        </w:rPr>
        <w:t>moment-là</w:t>
      </w:r>
      <w:r w:rsidRPr="00E00A62">
        <w:rPr>
          <w:rFonts w:ascii="Book Antiqua" w:eastAsia="Times New Roman" w:hAnsi="Book Antiqua" w:cs="Times New Roman"/>
          <w:color w:val="737373"/>
          <w:lang w:eastAsia="fr-FR"/>
        </w:rPr>
        <w:t>, un bilan définitif du Programme de Mesures (PDM) passé sera réalisé.</w:t>
      </w:r>
    </w:p>
    <w:p w:rsidR="00E00A62" w:rsidRDefault="00E00A62" w:rsidP="00EF0FFA">
      <w:pPr>
        <w:spacing w:before="100" w:beforeAutospacing="1" w:after="100" w:afterAutospacing="1" w:line="336" w:lineRule="atLeast"/>
        <w:rPr>
          <w:rFonts w:ascii="Book Antiqua" w:eastAsia="Times New Roman" w:hAnsi="Book Antiqua" w:cs="Times New Roman"/>
          <w:color w:val="737373"/>
          <w:lang w:eastAsia="fr-FR"/>
        </w:rPr>
      </w:pPr>
      <w:r w:rsidRPr="00E00A62">
        <w:rPr>
          <w:rFonts w:ascii="Book Antiqua" w:eastAsia="Times New Roman" w:hAnsi="Book Antiqua" w:cs="Times New Roman"/>
          <w:color w:val="737373"/>
          <w:lang w:eastAsia="fr-FR"/>
        </w:rPr>
        <w:t>Il rappelle également que l'état des lieux est réglementé et que la mise à jour de plusieurs produits est donc attendue :</w:t>
      </w:r>
    </w:p>
    <w:p w:rsidR="00106B0A" w:rsidRPr="00E00A62" w:rsidRDefault="00106B0A" w:rsidP="00EF0FFA">
      <w:pPr>
        <w:spacing w:before="100" w:beforeAutospacing="1" w:after="100" w:afterAutospacing="1" w:line="336" w:lineRule="atLeast"/>
        <w:rPr>
          <w:rFonts w:ascii="Book Antiqua" w:eastAsia="Times New Roman" w:hAnsi="Book Antiqua" w:cs="Times New Roman"/>
          <w:color w:val="737373"/>
          <w:lang w:eastAsia="fr-FR"/>
        </w:rPr>
      </w:pPr>
    </w:p>
    <w:p w:rsidR="00E00A62" w:rsidRPr="00E00A62" w:rsidRDefault="00E00A62" w:rsidP="00EF0FFA">
      <w:pPr>
        <w:numPr>
          <w:ilvl w:val="0"/>
          <w:numId w:val="1"/>
        </w:numPr>
        <w:spacing w:before="100" w:beforeAutospacing="1" w:after="45" w:line="336" w:lineRule="atLeast"/>
        <w:ind w:left="0"/>
        <w:rPr>
          <w:rFonts w:ascii="Book Antiqua" w:eastAsia="Times New Roman" w:hAnsi="Book Antiqua" w:cs="Times New Roman"/>
          <w:color w:val="737373"/>
          <w:lang w:eastAsia="fr-FR"/>
        </w:rPr>
      </w:pPr>
      <w:proofErr w:type="gramStart"/>
      <w:r w:rsidRPr="00E00A62">
        <w:rPr>
          <w:rFonts w:ascii="Book Antiqua" w:eastAsia="Times New Roman" w:hAnsi="Book Antiqua" w:cs="Times New Roman"/>
          <w:color w:val="737373"/>
          <w:lang w:eastAsia="fr-FR"/>
        </w:rPr>
        <w:lastRenderedPageBreak/>
        <w:t>le</w:t>
      </w:r>
      <w:proofErr w:type="gramEnd"/>
      <w:r w:rsidRPr="00E00A62">
        <w:rPr>
          <w:rFonts w:ascii="Book Antiqua" w:eastAsia="Times New Roman" w:hAnsi="Book Antiqua" w:cs="Times New Roman"/>
          <w:color w:val="737373"/>
          <w:lang w:eastAsia="fr-FR"/>
        </w:rPr>
        <w:t xml:space="preserve"> référentiel des masses d'eau ;</w:t>
      </w:r>
    </w:p>
    <w:p w:rsidR="00E00A62" w:rsidRPr="00E00A62" w:rsidRDefault="00E00A62" w:rsidP="00EF0FFA">
      <w:pPr>
        <w:numPr>
          <w:ilvl w:val="0"/>
          <w:numId w:val="1"/>
        </w:numPr>
        <w:spacing w:before="100" w:beforeAutospacing="1" w:after="45" w:line="336" w:lineRule="atLeast"/>
        <w:ind w:left="0"/>
        <w:rPr>
          <w:rFonts w:ascii="Book Antiqua" w:eastAsia="Times New Roman" w:hAnsi="Book Antiqua" w:cs="Times New Roman"/>
          <w:color w:val="737373"/>
          <w:lang w:eastAsia="fr-FR"/>
        </w:rPr>
      </w:pPr>
      <w:proofErr w:type="gramStart"/>
      <w:r w:rsidRPr="00E00A62">
        <w:rPr>
          <w:rFonts w:ascii="Book Antiqua" w:eastAsia="Times New Roman" w:hAnsi="Book Antiqua" w:cs="Times New Roman"/>
          <w:color w:val="737373"/>
          <w:lang w:eastAsia="fr-FR"/>
        </w:rPr>
        <w:t>l'identification</w:t>
      </w:r>
      <w:proofErr w:type="gramEnd"/>
      <w:r w:rsidRPr="00E00A62">
        <w:rPr>
          <w:rFonts w:ascii="Book Antiqua" w:eastAsia="Times New Roman" w:hAnsi="Book Antiqua" w:cs="Times New Roman"/>
          <w:color w:val="737373"/>
          <w:lang w:eastAsia="fr-FR"/>
        </w:rPr>
        <w:t xml:space="preserve"> des pressions et de leurs impacts ;</w:t>
      </w:r>
    </w:p>
    <w:p w:rsidR="00E00A62" w:rsidRPr="00E00A62" w:rsidRDefault="00E00A62" w:rsidP="00EF0FFA">
      <w:pPr>
        <w:numPr>
          <w:ilvl w:val="0"/>
          <w:numId w:val="1"/>
        </w:numPr>
        <w:spacing w:before="100" w:beforeAutospacing="1" w:after="45" w:line="336" w:lineRule="atLeast"/>
        <w:ind w:left="0"/>
        <w:rPr>
          <w:rFonts w:ascii="Book Antiqua" w:eastAsia="Times New Roman" w:hAnsi="Book Antiqua" w:cs="Times New Roman"/>
          <w:color w:val="737373"/>
          <w:lang w:eastAsia="fr-FR"/>
        </w:rPr>
      </w:pPr>
      <w:proofErr w:type="gramStart"/>
      <w:r w:rsidRPr="00E00A62">
        <w:rPr>
          <w:rFonts w:ascii="Book Antiqua" w:eastAsia="Times New Roman" w:hAnsi="Book Antiqua" w:cs="Times New Roman"/>
          <w:color w:val="737373"/>
          <w:lang w:eastAsia="fr-FR"/>
        </w:rPr>
        <w:t>l'évaluation</w:t>
      </w:r>
      <w:proofErr w:type="gramEnd"/>
      <w:r w:rsidRPr="00E00A62">
        <w:rPr>
          <w:rFonts w:ascii="Book Antiqua" w:eastAsia="Times New Roman" w:hAnsi="Book Antiqua" w:cs="Times New Roman"/>
          <w:color w:val="737373"/>
          <w:lang w:eastAsia="fr-FR"/>
        </w:rPr>
        <w:t xml:space="preserve"> du Risque de Non Atteinte des Objectifs Environnementaux (RNAOE) ;</w:t>
      </w:r>
    </w:p>
    <w:p w:rsidR="00E00A62" w:rsidRPr="00E00A62" w:rsidRDefault="00E00A62" w:rsidP="00EF0FFA">
      <w:pPr>
        <w:numPr>
          <w:ilvl w:val="0"/>
          <w:numId w:val="1"/>
        </w:numPr>
        <w:spacing w:before="100" w:beforeAutospacing="1" w:after="45" w:line="336" w:lineRule="atLeast"/>
        <w:ind w:left="0"/>
        <w:rPr>
          <w:rFonts w:ascii="Book Antiqua" w:eastAsia="Times New Roman" w:hAnsi="Book Antiqua" w:cs="Times New Roman"/>
          <w:color w:val="737373"/>
          <w:lang w:eastAsia="fr-FR"/>
        </w:rPr>
      </w:pPr>
      <w:proofErr w:type="gramStart"/>
      <w:r w:rsidRPr="00E00A62">
        <w:rPr>
          <w:rFonts w:ascii="Book Antiqua" w:eastAsia="Times New Roman" w:hAnsi="Book Antiqua" w:cs="Times New Roman"/>
          <w:color w:val="737373"/>
          <w:lang w:eastAsia="fr-FR"/>
        </w:rPr>
        <w:t>le</w:t>
      </w:r>
      <w:proofErr w:type="gramEnd"/>
      <w:r w:rsidRPr="00E00A62">
        <w:rPr>
          <w:rFonts w:ascii="Book Antiqua" w:eastAsia="Times New Roman" w:hAnsi="Book Antiqua" w:cs="Times New Roman"/>
          <w:color w:val="737373"/>
          <w:lang w:eastAsia="fr-FR"/>
        </w:rPr>
        <w:t xml:space="preserve"> bilan de la récupération des coûts des redevances ;</w:t>
      </w:r>
    </w:p>
    <w:p w:rsidR="005469B6" w:rsidRDefault="00E00A62" w:rsidP="005469B6">
      <w:pPr>
        <w:numPr>
          <w:ilvl w:val="0"/>
          <w:numId w:val="1"/>
        </w:numPr>
        <w:spacing w:before="100" w:beforeAutospacing="1" w:after="45" w:line="336" w:lineRule="atLeast"/>
        <w:ind w:left="0"/>
        <w:rPr>
          <w:rFonts w:ascii="Book Antiqua" w:eastAsia="Times New Roman" w:hAnsi="Book Antiqua" w:cs="Times New Roman"/>
          <w:color w:val="737373"/>
          <w:lang w:eastAsia="fr-FR"/>
        </w:rPr>
      </w:pPr>
      <w:proofErr w:type="gramStart"/>
      <w:r w:rsidRPr="00E00A62">
        <w:rPr>
          <w:rFonts w:ascii="Book Antiqua" w:eastAsia="Times New Roman" w:hAnsi="Book Antiqua" w:cs="Times New Roman"/>
          <w:color w:val="737373"/>
          <w:lang w:eastAsia="fr-FR"/>
        </w:rPr>
        <w:t>le</w:t>
      </w:r>
      <w:proofErr w:type="gramEnd"/>
      <w:r w:rsidRPr="00E00A62">
        <w:rPr>
          <w:rFonts w:ascii="Book Antiqua" w:eastAsia="Times New Roman" w:hAnsi="Book Antiqua" w:cs="Times New Roman"/>
          <w:color w:val="737373"/>
          <w:lang w:eastAsia="fr-FR"/>
        </w:rPr>
        <w:t xml:space="preserve"> registre des zones protégées.</w:t>
      </w:r>
    </w:p>
    <w:p w:rsidR="005469B6" w:rsidRPr="00106B0A" w:rsidRDefault="005469B6" w:rsidP="00106B0A">
      <w:pPr>
        <w:pStyle w:val="Sansinterligne"/>
      </w:pPr>
    </w:p>
    <w:p w:rsidR="00EF0FFA" w:rsidRPr="00EF0FFA" w:rsidRDefault="00EF0FFA" w:rsidP="00EF0FFA">
      <w:pPr>
        <w:spacing w:before="100" w:beforeAutospacing="1" w:after="45" w:line="336" w:lineRule="atLeast"/>
        <w:rPr>
          <w:rFonts w:ascii="Book Antiqua" w:eastAsia="Times New Roman" w:hAnsi="Book Antiqua" w:cs="Times New Roman"/>
          <w:b/>
          <w:bCs/>
          <w:color w:val="737373"/>
          <w:sz w:val="24"/>
          <w:szCs w:val="24"/>
          <w:u w:val="single"/>
          <w:lang w:eastAsia="fr-FR"/>
        </w:rPr>
      </w:pPr>
      <w:r w:rsidRPr="00EF0FFA">
        <w:rPr>
          <w:rFonts w:ascii="Book Antiqua" w:eastAsia="Times New Roman" w:hAnsi="Book Antiqua" w:cs="Times New Roman"/>
          <w:b/>
          <w:bCs/>
          <w:color w:val="737373"/>
          <w:sz w:val="24"/>
          <w:szCs w:val="24"/>
          <w:u w:val="single"/>
          <w:lang w:eastAsia="fr-FR"/>
        </w:rPr>
        <w:t>E</w:t>
      </w:r>
      <w:r w:rsidRPr="00E00A62">
        <w:rPr>
          <w:rFonts w:ascii="Book Antiqua" w:eastAsia="Times New Roman" w:hAnsi="Book Antiqua" w:cs="Times New Roman"/>
          <w:b/>
          <w:bCs/>
          <w:color w:val="737373"/>
          <w:sz w:val="24"/>
          <w:szCs w:val="24"/>
          <w:u w:val="single"/>
          <w:lang w:eastAsia="fr-FR"/>
        </w:rPr>
        <w:t xml:space="preserve">léments de </w:t>
      </w:r>
      <w:proofErr w:type="gramStart"/>
      <w:r w:rsidRPr="00E00A62">
        <w:rPr>
          <w:rFonts w:ascii="Book Antiqua" w:eastAsia="Times New Roman" w:hAnsi="Book Antiqua" w:cs="Times New Roman"/>
          <w:b/>
          <w:bCs/>
          <w:color w:val="737373"/>
          <w:sz w:val="24"/>
          <w:szCs w:val="24"/>
          <w:u w:val="single"/>
          <w:lang w:eastAsia="fr-FR"/>
        </w:rPr>
        <w:t>cadrage généraux</w:t>
      </w:r>
      <w:proofErr w:type="gramEnd"/>
      <w:r w:rsidRPr="00E00A62">
        <w:rPr>
          <w:rFonts w:ascii="Book Antiqua" w:eastAsia="Times New Roman" w:hAnsi="Book Antiqua" w:cs="Times New Roman"/>
          <w:b/>
          <w:bCs/>
          <w:color w:val="737373"/>
          <w:sz w:val="24"/>
          <w:szCs w:val="24"/>
          <w:u w:val="single"/>
          <w:lang w:eastAsia="fr-FR"/>
        </w:rPr>
        <w:t xml:space="preserve"> concernant l'évaluation du RNAOE 2027 menée</w:t>
      </w:r>
      <w:r w:rsidRPr="00EF0FFA">
        <w:rPr>
          <w:rFonts w:ascii="Book Antiqua" w:eastAsia="Times New Roman" w:hAnsi="Book Antiqua" w:cs="Times New Roman"/>
          <w:b/>
          <w:bCs/>
          <w:color w:val="737373"/>
          <w:sz w:val="24"/>
          <w:szCs w:val="24"/>
          <w:u w:val="single"/>
          <w:lang w:eastAsia="fr-FR"/>
        </w:rPr>
        <w:t xml:space="preserve"> - </w:t>
      </w:r>
      <w:r w:rsidR="00E00A62" w:rsidRPr="00E00A62">
        <w:rPr>
          <w:rFonts w:ascii="Book Antiqua" w:eastAsia="Times New Roman" w:hAnsi="Book Antiqua" w:cs="Times New Roman"/>
          <w:b/>
          <w:bCs/>
          <w:color w:val="737373"/>
          <w:sz w:val="24"/>
          <w:szCs w:val="24"/>
          <w:u w:val="single"/>
          <w:lang w:eastAsia="fr-FR"/>
        </w:rPr>
        <w:t>S. STROFFEK</w:t>
      </w:r>
      <w:r w:rsidRPr="00EF0FFA">
        <w:rPr>
          <w:rFonts w:ascii="Book Antiqua" w:eastAsia="Times New Roman" w:hAnsi="Book Antiqua" w:cs="Times New Roman"/>
          <w:b/>
          <w:bCs/>
          <w:color w:val="737373"/>
          <w:sz w:val="24"/>
          <w:szCs w:val="24"/>
          <w:u w:val="single"/>
          <w:lang w:eastAsia="fr-FR"/>
        </w:rPr>
        <w:t>/</w:t>
      </w:r>
      <w:r w:rsidR="00E00A62" w:rsidRPr="00E00A62">
        <w:rPr>
          <w:rFonts w:ascii="Book Antiqua" w:eastAsia="Times New Roman" w:hAnsi="Book Antiqua" w:cs="Times New Roman"/>
          <w:b/>
          <w:bCs/>
          <w:color w:val="737373"/>
          <w:sz w:val="24"/>
          <w:szCs w:val="24"/>
          <w:u w:val="single"/>
          <w:lang w:eastAsia="fr-FR"/>
        </w:rPr>
        <w:t>Agence de l'Eau RM &amp; C</w:t>
      </w:r>
    </w:p>
    <w:p w:rsidR="00E00A62" w:rsidRPr="00E00A62" w:rsidRDefault="00E00A62" w:rsidP="00EF0FFA">
      <w:pPr>
        <w:spacing w:before="100" w:beforeAutospacing="1" w:after="45" w:line="336" w:lineRule="atLeast"/>
        <w:rPr>
          <w:rFonts w:ascii="Book Antiqua" w:eastAsia="Times New Roman" w:hAnsi="Book Antiqua" w:cs="Times New Roman"/>
          <w:color w:val="737373"/>
          <w:lang w:eastAsia="fr-FR"/>
        </w:rPr>
      </w:pPr>
      <w:r w:rsidRPr="00E00A62">
        <w:rPr>
          <w:rFonts w:ascii="Book Antiqua" w:eastAsia="Times New Roman" w:hAnsi="Book Antiqua" w:cs="Times New Roman"/>
          <w:color w:val="737373"/>
          <w:lang w:eastAsia="fr-FR"/>
        </w:rPr>
        <w:t>Il précise que l'objectif de l'actualisation de l'évaluation du RNAOE est d'identifier pour 2027 :</w:t>
      </w:r>
    </w:p>
    <w:p w:rsidR="00E00A62" w:rsidRPr="00EF0FFA" w:rsidRDefault="00E00A62" w:rsidP="00EF0FFA">
      <w:pPr>
        <w:pStyle w:val="Paragraphedeliste"/>
        <w:numPr>
          <w:ilvl w:val="0"/>
          <w:numId w:val="6"/>
        </w:numPr>
        <w:spacing w:before="100" w:beforeAutospacing="1" w:after="45" w:line="336" w:lineRule="atLeast"/>
        <w:rPr>
          <w:rFonts w:ascii="Book Antiqua" w:eastAsia="Times New Roman" w:hAnsi="Book Antiqua" w:cs="Times New Roman"/>
          <w:color w:val="737373"/>
          <w:lang w:eastAsia="fr-FR"/>
        </w:rPr>
      </w:pPr>
      <w:proofErr w:type="gramStart"/>
      <w:r w:rsidRPr="00EF0FFA">
        <w:rPr>
          <w:rFonts w:ascii="Book Antiqua" w:eastAsia="Times New Roman" w:hAnsi="Book Antiqua" w:cs="Times New Roman"/>
          <w:color w:val="737373"/>
          <w:lang w:eastAsia="fr-FR"/>
        </w:rPr>
        <w:t>dans</w:t>
      </w:r>
      <w:proofErr w:type="gramEnd"/>
      <w:r w:rsidRPr="00EF0FFA">
        <w:rPr>
          <w:rFonts w:ascii="Book Antiqua" w:eastAsia="Times New Roman" w:hAnsi="Book Antiqua" w:cs="Times New Roman"/>
          <w:color w:val="737373"/>
          <w:lang w:eastAsia="fr-FR"/>
        </w:rPr>
        <w:t xml:space="preserve"> l'état des lieux : les pressions et masses d'eau à RNAOE ;</w:t>
      </w:r>
    </w:p>
    <w:p w:rsidR="00E00A62" w:rsidRPr="00EF0FFA" w:rsidRDefault="00E00A62" w:rsidP="00EF0FFA">
      <w:pPr>
        <w:pStyle w:val="Paragraphedeliste"/>
        <w:numPr>
          <w:ilvl w:val="0"/>
          <w:numId w:val="6"/>
        </w:numPr>
        <w:spacing w:before="100" w:beforeAutospacing="1" w:after="45" w:line="336" w:lineRule="atLeast"/>
        <w:rPr>
          <w:rFonts w:ascii="Book Antiqua" w:eastAsia="Times New Roman" w:hAnsi="Book Antiqua" w:cs="Times New Roman"/>
          <w:color w:val="737373"/>
          <w:lang w:eastAsia="fr-FR"/>
        </w:rPr>
      </w:pPr>
      <w:proofErr w:type="gramStart"/>
      <w:r w:rsidRPr="00EF0FFA">
        <w:rPr>
          <w:rFonts w:ascii="Book Antiqua" w:eastAsia="Times New Roman" w:hAnsi="Book Antiqua" w:cs="Times New Roman"/>
          <w:color w:val="737373"/>
          <w:lang w:eastAsia="fr-FR"/>
        </w:rPr>
        <w:t>dans</w:t>
      </w:r>
      <w:proofErr w:type="gramEnd"/>
      <w:r w:rsidRPr="00EF0FFA">
        <w:rPr>
          <w:rFonts w:ascii="Book Antiqua" w:eastAsia="Times New Roman" w:hAnsi="Book Antiqua" w:cs="Times New Roman"/>
          <w:color w:val="737373"/>
          <w:lang w:eastAsia="fr-FR"/>
        </w:rPr>
        <w:t xml:space="preserve"> le SDAGE et le PDM : les mesures pour réduire les pressions et les objectifs d'état à atteindre ainsi que de surveillance (contrôle opérationnel à ajuster).</w:t>
      </w:r>
    </w:p>
    <w:p w:rsidR="00E00A62" w:rsidRPr="00EF0FFA" w:rsidRDefault="008D7BFD" w:rsidP="00EF0FFA">
      <w:p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C’est le 3</w:t>
      </w:r>
      <w:r w:rsidRPr="00EF0FFA">
        <w:rPr>
          <w:rFonts w:ascii="Book Antiqua" w:eastAsia="Times New Roman" w:hAnsi="Book Antiqua" w:cs="Times New Roman"/>
          <w:color w:val="737373"/>
          <w:vertAlign w:val="superscript"/>
          <w:lang w:eastAsia="fr-FR"/>
        </w:rPr>
        <w:t>ème</w:t>
      </w:r>
      <w:r w:rsidRPr="00EF0FFA">
        <w:rPr>
          <w:rFonts w:ascii="Book Antiqua" w:eastAsia="Times New Roman" w:hAnsi="Book Antiqua" w:cs="Times New Roman"/>
          <w:color w:val="737373"/>
          <w:lang w:eastAsia="fr-FR"/>
        </w:rPr>
        <w:t xml:space="preserve"> état des lieux réalisé par l’Agence de l’Eau RM &amp; C (états des lieux précédents en 2005 et 2013). Il suit la même méthodologie que l’état des lieux précédent (ajustements restants à la marge) afin de pouvoir mieux prendre en compte les mesures mises en œuvre et leur efficacité. </w:t>
      </w:r>
    </w:p>
    <w:p w:rsidR="008D7BFD" w:rsidRPr="00EF0FFA" w:rsidRDefault="008D7BFD" w:rsidP="00EF0FFA">
      <w:p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 xml:space="preserve">Le SDAGE Rhône Méditerranée a d’autres objectifs (non dégradation, zones protégées, réduction des substances toxiques etc.) mais ceux-ci se situent sur des échelles différentes et ne font donc pas partie de l’évaluation du RNAOE. </w:t>
      </w:r>
    </w:p>
    <w:p w:rsidR="00054610" w:rsidRPr="00EF0FFA" w:rsidRDefault="00054610" w:rsidP="00EF0FFA">
      <w:p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 xml:space="preserve">Cette évaluation repose sur un modèle « pressions/état/réponses » qui consiste à dresser un inventaire des activités humaines afin d’évaluer les pressions et leurs impacts sur les milieux, dans le but de donner une image de l’état des milieux et donc de proposer des actions à engager dans le cadre du SDAGE révisé. </w:t>
      </w:r>
    </w:p>
    <w:p w:rsidR="00054610" w:rsidRPr="00EF0FFA" w:rsidRDefault="00054610" w:rsidP="00EF0FFA">
      <w:p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 xml:space="preserve">Ainsi, l’évaluation du RNAOE 2027 repose sur une identification quantitative de pressions définies (nutriments urbains, industriels et agricoles, pesticides, prélèvements d’eau, hydrologie, morphologie, continuité écologique etc.) et sur une évaluation (par un niveau d’impact là aussi défini) des incidences de ces pressions sur les masses d’eau, selon 3 niveaux : </w:t>
      </w:r>
    </w:p>
    <w:p w:rsidR="00054610" w:rsidRPr="00EF0FFA" w:rsidRDefault="00054610" w:rsidP="00EF0FFA">
      <w:pPr>
        <w:pStyle w:val="Paragraphedeliste"/>
        <w:numPr>
          <w:ilvl w:val="0"/>
          <w:numId w:val="3"/>
        </w:numPr>
        <w:spacing w:before="100" w:beforeAutospacing="1" w:after="100" w:afterAutospacing="1" w:line="336" w:lineRule="atLeast"/>
        <w:rPr>
          <w:rFonts w:ascii="Book Antiqua" w:eastAsia="Times New Roman" w:hAnsi="Book Antiqua" w:cs="Times New Roman"/>
          <w:color w:val="737373"/>
          <w:lang w:eastAsia="fr-FR"/>
        </w:rPr>
      </w:pPr>
      <w:proofErr w:type="gramStart"/>
      <w:r w:rsidRPr="00EF0FFA">
        <w:rPr>
          <w:rFonts w:ascii="Book Antiqua" w:eastAsia="Times New Roman" w:hAnsi="Book Antiqua" w:cs="Times New Roman"/>
          <w:color w:val="737373"/>
          <w:lang w:eastAsia="fr-FR"/>
        </w:rPr>
        <w:t>non</w:t>
      </w:r>
      <w:proofErr w:type="gramEnd"/>
      <w:r w:rsidRPr="00EF0FFA">
        <w:rPr>
          <w:rFonts w:ascii="Book Antiqua" w:eastAsia="Times New Roman" w:hAnsi="Book Antiqua" w:cs="Times New Roman"/>
          <w:color w:val="737373"/>
          <w:lang w:eastAsia="fr-FR"/>
        </w:rPr>
        <w:t xml:space="preserve"> mesurable ou faible = impact mineur ;</w:t>
      </w:r>
    </w:p>
    <w:p w:rsidR="00054610" w:rsidRPr="00EF0FFA" w:rsidRDefault="00054610" w:rsidP="00EF0FFA">
      <w:pPr>
        <w:pStyle w:val="Paragraphedeliste"/>
        <w:numPr>
          <w:ilvl w:val="0"/>
          <w:numId w:val="3"/>
        </w:numPr>
        <w:spacing w:before="100" w:beforeAutospacing="1" w:after="100" w:afterAutospacing="1" w:line="336" w:lineRule="atLeast"/>
        <w:rPr>
          <w:rFonts w:ascii="Book Antiqua" w:eastAsia="Times New Roman" w:hAnsi="Book Antiqua" w:cs="Times New Roman"/>
          <w:color w:val="737373"/>
          <w:lang w:eastAsia="fr-FR"/>
        </w:rPr>
      </w:pPr>
      <w:proofErr w:type="gramStart"/>
      <w:r w:rsidRPr="00EF0FFA">
        <w:rPr>
          <w:rFonts w:ascii="Book Antiqua" w:eastAsia="Times New Roman" w:hAnsi="Book Antiqua" w:cs="Times New Roman"/>
          <w:color w:val="737373"/>
          <w:lang w:eastAsia="fr-FR"/>
        </w:rPr>
        <w:t>mesurable</w:t>
      </w:r>
      <w:proofErr w:type="gramEnd"/>
      <w:r w:rsidRPr="00EF0FFA">
        <w:rPr>
          <w:rFonts w:ascii="Book Antiqua" w:eastAsia="Times New Roman" w:hAnsi="Book Antiqua" w:cs="Times New Roman"/>
          <w:color w:val="737373"/>
          <w:lang w:eastAsia="fr-FR"/>
        </w:rPr>
        <w:t xml:space="preserve"> mais localisé = impact moyen ;</w:t>
      </w:r>
    </w:p>
    <w:p w:rsidR="00054610" w:rsidRPr="00EF0FFA" w:rsidRDefault="00054610" w:rsidP="00EF0FFA">
      <w:pPr>
        <w:pStyle w:val="Paragraphedeliste"/>
        <w:numPr>
          <w:ilvl w:val="0"/>
          <w:numId w:val="3"/>
        </w:numPr>
        <w:spacing w:before="100" w:beforeAutospacing="1" w:after="100" w:afterAutospacing="1" w:line="336" w:lineRule="atLeast"/>
        <w:rPr>
          <w:rFonts w:ascii="Book Antiqua" w:eastAsia="Times New Roman" w:hAnsi="Book Antiqua" w:cs="Times New Roman"/>
          <w:color w:val="737373"/>
          <w:lang w:eastAsia="fr-FR"/>
        </w:rPr>
      </w:pPr>
      <w:proofErr w:type="gramStart"/>
      <w:r w:rsidRPr="00EF0FFA">
        <w:rPr>
          <w:rFonts w:ascii="Book Antiqua" w:eastAsia="Times New Roman" w:hAnsi="Book Antiqua" w:cs="Times New Roman"/>
          <w:color w:val="737373"/>
          <w:lang w:eastAsia="fr-FR"/>
        </w:rPr>
        <w:t>mesurable</w:t>
      </w:r>
      <w:proofErr w:type="gramEnd"/>
      <w:r w:rsidRPr="00EF0FFA">
        <w:rPr>
          <w:rFonts w:ascii="Book Antiqua" w:eastAsia="Times New Roman" w:hAnsi="Book Antiqua" w:cs="Times New Roman"/>
          <w:color w:val="737373"/>
          <w:lang w:eastAsia="fr-FR"/>
        </w:rPr>
        <w:t xml:space="preserve"> et étendu = impact majeur.</w:t>
      </w:r>
    </w:p>
    <w:p w:rsidR="005469B6" w:rsidRPr="00EF0FFA" w:rsidRDefault="009A240F" w:rsidP="00EF0FFA">
      <w:p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 xml:space="preserve">Pour chaque masse d’eau, le niveau de RNAOE est ainsi évalué et les pressions éventuellement à l’origine de ce RNAOE sont identifiées. </w:t>
      </w:r>
    </w:p>
    <w:p w:rsidR="00106B0A" w:rsidRDefault="009A240F" w:rsidP="00106B0A">
      <w:pPr>
        <w:spacing w:before="100" w:beforeAutospacing="1" w:after="100" w:afterAutospacing="1" w:line="336" w:lineRule="atLeast"/>
        <w:rPr>
          <w:rFonts w:ascii="Book Antiqua" w:eastAsia="Times New Roman" w:hAnsi="Book Antiqua" w:cs="Times New Roman"/>
          <w:b/>
          <w:color w:val="737373"/>
          <w:lang w:eastAsia="fr-FR"/>
        </w:rPr>
      </w:pPr>
      <w:r w:rsidRPr="00EF0FFA">
        <w:rPr>
          <w:rFonts w:ascii="Book Antiqua" w:eastAsia="Times New Roman" w:hAnsi="Book Antiqua" w:cs="Times New Roman"/>
          <w:b/>
          <w:color w:val="737373"/>
          <w:lang w:eastAsia="fr-FR"/>
        </w:rPr>
        <w:t xml:space="preserve">Il précise que la consultation publique n’a pas pour but de remettre en question la méthodologie employée mais bien d’émettre un avis sur le diagnostic proposé masse d’eau par masse d’eau. </w:t>
      </w:r>
    </w:p>
    <w:p w:rsidR="00106B0A" w:rsidRDefault="00106B0A" w:rsidP="00106B0A">
      <w:pPr>
        <w:spacing w:before="100" w:beforeAutospacing="1" w:after="100" w:afterAutospacing="1" w:line="336" w:lineRule="atLeast"/>
        <w:rPr>
          <w:rFonts w:ascii="Book Antiqua" w:eastAsia="Times New Roman" w:hAnsi="Book Antiqua" w:cs="Times New Roman"/>
          <w:b/>
          <w:color w:val="737373"/>
          <w:lang w:eastAsia="fr-FR"/>
        </w:rPr>
      </w:pPr>
    </w:p>
    <w:p w:rsidR="00106B0A" w:rsidRDefault="009A240F" w:rsidP="00106B0A">
      <w:pPr>
        <w:spacing w:before="100" w:beforeAutospacing="1" w:after="100" w:afterAutospacing="1" w:line="336" w:lineRule="atLeast"/>
        <w:rPr>
          <w:rFonts w:ascii="Book Antiqua" w:eastAsia="Times New Roman" w:hAnsi="Book Antiqua" w:cs="Times New Roman"/>
          <w:b/>
          <w:color w:val="737373"/>
          <w:u w:val="single"/>
          <w:lang w:eastAsia="fr-FR"/>
        </w:rPr>
      </w:pPr>
      <w:r w:rsidRPr="00EF0FFA">
        <w:rPr>
          <w:rFonts w:ascii="Book Antiqua" w:eastAsia="Times New Roman" w:hAnsi="Book Antiqua" w:cs="Times New Roman"/>
          <w:b/>
          <w:color w:val="737373"/>
          <w:lang w:eastAsia="fr-FR"/>
        </w:rPr>
        <w:lastRenderedPageBreak/>
        <w:t xml:space="preserve">En cas de désaccord (RNAOE sous-évalué ou au contraire sur évalué), il est important et </w:t>
      </w:r>
      <w:r w:rsidR="003A7AF0" w:rsidRPr="00EF0FFA">
        <w:rPr>
          <w:rFonts w:ascii="Book Antiqua" w:eastAsia="Times New Roman" w:hAnsi="Book Antiqua" w:cs="Times New Roman"/>
          <w:b/>
          <w:color w:val="737373"/>
          <w:lang w:eastAsia="fr-FR"/>
        </w:rPr>
        <w:t xml:space="preserve">nécessaire d’argumenter le plus possible </w:t>
      </w:r>
      <w:r w:rsidR="006549FB" w:rsidRPr="00EF0FFA">
        <w:rPr>
          <w:rFonts w:ascii="Book Antiqua" w:eastAsia="Times New Roman" w:hAnsi="Book Antiqua" w:cs="Times New Roman"/>
          <w:b/>
          <w:color w:val="737373"/>
          <w:lang w:eastAsia="fr-FR"/>
        </w:rPr>
        <w:t xml:space="preserve">son avis. </w:t>
      </w:r>
      <w:r w:rsidR="006549FB" w:rsidRPr="00EF0FFA">
        <w:rPr>
          <w:rFonts w:ascii="Book Antiqua" w:eastAsia="Times New Roman" w:hAnsi="Book Antiqua" w:cs="Times New Roman"/>
          <w:b/>
          <w:color w:val="737373"/>
          <w:u w:val="single"/>
          <w:lang w:eastAsia="fr-FR"/>
        </w:rPr>
        <w:t>Attention, tout avis non justifié ne sera pas pris en compte !</w:t>
      </w:r>
    </w:p>
    <w:p w:rsidR="00106B0A" w:rsidRPr="00106B0A" w:rsidRDefault="00106B0A" w:rsidP="00106B0A">
      <w:pPr>
        <w:pStyle w:val="Sansinterligne"/>
        <w:rPr>
          <w:sz w:val="16"/>
          <w:szCs w:val="16"/>
          <w:lang w:eastAsia="fr-FR"/>
        </w:rPr>
      </w:pPr>
    </w:p>
    <w:p w:rsidR="0092072E" w:rsidRPr="00EF0FFA" w:rsidRDefault="00EF0FFA" w:rsidP="00054610">
      <w:pPr>
        <w:spacing w:before="100" w:beforeAutospacing="1" w:after="100" w:afterAutospacing="1" w:line="336" w:lineRule="atLeast"/>
        <w:jc w:val="left"/>
        <w:rPr>
          <w:rFonts w:ascii="Book Antiqua" w:eastAsia="Times New Roman" w:hAnsi="Book Antiqua" w:cs="Times New Roman"/>
          <w:b/>
          <w:color w:val="737373"/>
          <w:sz w:val="24"/>
          <w:szCs w:val="24"/>
          <w:u w:val="single"/>
          <w:lang w:eastAsia="fr-FR"/>
        </w:rPr>
      </w:pPr>
      <w:r w:rsidRPr="00EF0FFA">
        <w:rPr>
          <w:rFonts w:ascii="Book Antiqua" w:eastAsia="Times New Roman" w:hAnsi="Book Antiqua" w:cs="Times New Roman"/>
          <w:b/>
          <w:color w:val="737373"/>
          <w:sz w:val="24"/>
          <w:szCs w:val="24"/>
          <w:u w:val="single"/>
          <w:lang w:eastAsia="fr-FR"/>
        </w:rPr>
        <w:t xml:space="preserve">Evolution du risque de non atteinte du bon état – comparaison entre 2021 et 2027 - </w:t>
      </w:r>
      <w:r w:rsidR="006549FB" w:rsidRPr="00EF0FFA">
        <w:rPr>
          <w:rFonts w:ascii="Book Antiqua" w:eastAsia="Times New Roman" w:hAnsi="Book Antiqua" w:cs="Times New Roman"/>
          <w:b/>
          <w:color w:val="737373"/>
          <w:sz w:val="24"/>
          <w:szCs w:val="24"/>
          <w:u w:val="single"/>
          <w:lang w:eastAsia="fr-FR"/>
        </w:rPr>
        <w:t>J. HERVO</w:t>
      </w:r>
      <w:r w:rsidRPr="00EF0FFA">
        <w:rPr>
          <w:rFonts w:ascii="Book Antiqua" w:eastAsia="Times New Roman" w:hAnsi="Book Antiqua" w:cs="Times New Roman"/>
          <w:b/>
          <w:color w:val="737373"/>
          <w:sz w:val="24"/>
          <w:szCs w:val="24"/>
          <w:u w:val="single"/>
          <w:lang w:eastAsia="fr-FR"/>
        </w:rPr>
        <w:t>/</w:t>
      </w:r>
      <w:r w:rsidR="006549FB" w:rsidRPr="00EF0FFA">
        <w:rPr>
          <w:rFonts w:ascii="Book Antiqua" w:eastAsia="Times New Roman" w:hAnsi="Book Antiqua" w:cs="Times New Roman"/>
          <w:b/>
          <w:color w:val="737373"/>
          <w:sz w:val="24"/>
          <w:szCs w:val="24"/>
          <w:u w:val="single"/>
          <w:lang w:eastAsia="fr-FR"/>
        </w:rPr>
        <w:t>Agence de l’Eau RM &amp; C</w:t>
      </w:r>
      <w:r w:rsidR="0092072E" w:rsidRPr="00EF0FFA">
        <w:rPr>
          <w:rFonts w:ascii="Book Antiqua" w:eastAsia="Times New Roman" w:hAnsi="Book Antiqua" w:cs="Times New Roman"/>
          <w:b/>
          <w:color w:val="737373"/>
          <w:sz w:val="24"/>
          <w:szCs w:val="24"/>
          <w:u w:val="single"/>
          <w:lang w:eastAsia="fr-FR"/>
        </w:rPr>
        <w:t xml:space="preserve"> </w:t>
      </w:r>
    </w:p>
    <w:p w:rsidR="006549FB" w:rsidRPr="00EF0FFA" w:rsidRDefault="0092072E" w:rsidP="00EF0FFA">
      <w:p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 xml:space="preserve">49% des masses d’eau sont considérées comme étant en risque de non atteinte du bon état en 2027 contre 51% en 2021. </w:t>
      </w:r>
    </w:p>
    <w:p w:rsidR="0092072E" w:rsidRPr="00EF0FFA" w:rsidRDefault="0092072E" w:rsidP="00EF0FFA">
      <w:p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En ce qui concerne plus spécifiquement les cours d’eau, on constate une augmentation d</w:t>
      </w:r>
      <w:r w:rsidR="00446D7C" w:rsidRPr="00EF0FFA">
        <w:rPr>
          <w:rFonts w:ascii="Book Antiqua" w:eastAsia="Times New Roman" w:hAnsi="Book Antiqua" w:cs="Times New Roman"/>
          <w:color w:val="737373"/>
          <w:lang w:eastAsia="fr-FR"/>
        </w:rPr>
        <w:t>u pourcentage de cours d’eau à</w:t>
      </w:r>
      <w:r w:rsidRPr="00EF0FFA">
        <w:rPr>
          <w:rFonts w:ascii="Book Antiqua" w:eastAsia="Times New Roman" w:hAnsi="Book Antiqua" w:cs="Times New Roman"/>
          <w:color w:val="737373"/>
          <w:lang w:eastAsia="fr-FR"/>
        </w:rPr>
        <w:t xml:space="preserve"> risque de non atteinte du bon état en 2027 par rapport à 2021 qui se traduit notamment par une augmentation </w:t>
      </w:r>
      <w:r w:rsidR="00446D7C" w:rsidRPr="00EF0FFA">
        <w:rPr>
          <w:rFonts w:ascii="Book Antiqua" w:eastAsia="Times New Roman" w:hAnsi="Book Antiqua" w:cs="Times New Roman"/>
          <w:color w:val="737373"/>
          <w:lang w:eastAsia="fr-FR"/>
        </w:rPr>
        <w:t>des pressions par les pesticides et la morphologie des cours d’eau ; alors qu’il semblerait au contraire que les pressions diminuent en ce qui concerne les prélèvements et les continuités écologiques, ce qui semble plutôt surprenant compte-tenu de la réalité du terrain observée !</w:t>
      </w:r>
    </w:p>
    <w:p w:rsidR="00EF0FFA" w:rsidRPr="00106B0A" w:rsidRDefault="00106B0A" w:rsidP="00106B0A">
      <w:pPr>
        <w:spacing w:before="100" w:beforeAutospacing="1" w:after="100" w:afterAutospacing="1" w:line="336" w:lineRule="atLeast"/>
        <w:rPr>
          <w:rFonts w:ascii="Book Antiqua" w:eastAsia="Times New Roman" w:hAnsi="Book Antiqua" w:cs="Times New Roman"/>
          <w:color w:val="737373"/>
          <w:lang w:eastAsia="fr-FR"/>
        </w:rPr>
      </w:pPr>
      <w:r>
        <w:rPr>
          <w:rFonts w:ascii="Book Antiqua" w:eastAsia="Times New Roman" w:hAnsi="Book Antiqua" w:cs="Times New Roman"/>
          <w:color w:val="737373"/>
          <w:lang w:eastAsia="fr-FR"/>
        </w:rPr>
        <w:t>Quant aux</w:t>
      </w:r>
      <w:bookmarkStart w:id="0" w:name="_GoBack"/>
      <w:bookmarkEnd w:id="0"/>
      <w:r w:rsidR="00446D7C" w:rsidRPr="00EF0FFA">
        <w:rPr>
          <w:rFonts w:ascii="Book Antiqua" w:eastAsia="Times New Roman" w:hAnsi="Book Antiqua" w:cs="Times New Roman"/>
          <w:color w:val="737373"/>
          <w:lang w:eastAsia="fr-FR"/>
        </w:rPr>
        <w:t xml:space="preserve"> masses d’eau souterraines, on constate une légère diminution du pourcentage de masses d’eau souterraines à risque de non atteinte du bon état en 2027 par rapport à 2021, qui s’expliquerait entre autres par une diminution des pollutions par les nutriments agricoles et d’une non évolution des prélèvements par rapport à 2021, ce qui là aussi laisse dubitatif. </w:t>
      </w:r>
    </w:p>
    <w:p w:rsidR="00446D7C" w:rsidRPr="00EF0FFA" w:rsidRDefault="00446D7C" w:rsidP="00EF0FFA">
      <w:pPr>
        <w:spacing w:before="100" w:beforeAutospacing="1" w:after="100" w:afterAutospacing="1" w:line="336" w:lineRule="atLeast"/>
        <w:rPr>
          <w:rFonts w:ascii="Book Antiqua" w:eastAsia="Times New Roman" w:hAnsi="Book Antiqua" w:cs="Times New Roman"/>
          <w:b/>
          <w:color w:val="737373"/>
          <w:lang w:eastAsia="fr-FR"/>
        </w:rPr>
      </w:pPr>
      <w:r w:rsidRPr="00EF0FFA">
        <w:rPr>
          <w:rFonts w:ascii="Book Antiqua" w:eastAsia="Times New Roman" w:hAnsi="Book Antiqua" w:cs="Times New Roman"/>
          <w:b/>
          <w:color w:val="737373"/>
          <w:lang w:eastAsia="fr-FR"/>
        </w:rPr>
        <w:t xml:space="preserve">Pour finir, il est important de savoir que la consultation sera dématérialisée sur le site d’informations sur l’eau du bassin, avec mise en place d’une page spécifique dédiée. </w:t>
      </w:r>
    </w:p>
    <w:p w:rsidR="00446D7C" w:rsidRPr="00EF0FFA" w:rsidRDefault="00446D7C" w:rsidP="00EF0FFA">
      <w:pPr>
        <w:spacing w:before="100" w:beforeAutospacing="1" w:after="100" w:afterAutospacing="1" w:line="336" w:lineRule="atLeast"/>
        <w:rPr>
          <w:rFonts w:ascii="Book Antiqua" w:eastAsia="Times New Roman" w:hAnsi="Book Antiqua" w:cs="Times New Roman"/>
          <w:b/>
          <w:color w:val="737373"/>
          <w:lang w:eastAsia="fr-FR"/>
        </w:rPr>
      </w:pPr>
      <w:r w:rsidRPr="00EF0FFA">
        <w:rPr>
          <w:rFonts w:ascii="Book Antiqua" w:eastAsia="Times New Roman" w:hAnsi="Book Antiqua" w:cs="Times New Roman"/>
          <w:b/>
          <w:color w:val="737373"/>
          <w:lang w:eastAsia="fr-FR"/>
        </w:rPr>
        <w:t xml:space="preserve">Des réunions départementales auront également lieu avant la fin de la consultation publique afin d’apporter des réponses aux questions que peuvent se poser les acteurs qui auront à répondre à cette consultation. Elles auront lieu les : </w:t>
      </w:r>
    </w:p>
    <w:p w:rsidR="00446D7C" w:rsidRPr="00EF0FFA" w:rsidRDefault="00446D7C" w:rsidP="00EF0FFA">
      <w:pPr>
        <w:pStyle w:val="Paragraphedeliste"/>
        <w:numPr>
          <w:ilvl w:val="0"/>
          <w:numId w:val="4"/>
        </w:num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18 Septembre pour le Vaucluse ;</w:t>
      </w:r>
    </w:p>
    <w:p w:rsidR="00446D7C" w:rsidRPr="00EF0FFA" w:rsidRDefault="00446D7C" w:rsidP="00EF0FFA">
      <w:pPr>
        <w:pStyle w:val="Paragraphedeliste"/>
        <w:numPr>
          <w:ilvl w:val="0"/>
          <w:numId w:val="4"/>
        </w:num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 xml:space="preserve">20 Septembre pour les Bouches-du-Rhône ; </w:t>
      </w:r>
    </w:p>
    <w:p w:rsidR="00446D7C" w:rsidRPr="00EF0FFA" w:rsidRDefault="00446D7C" w:rsidP="00EF0FFA">
      <w:pPr>
        <w:pStyle w:val="Paragraphedeliste"/>
        <w:numPr>
          <w:ilvl w:val="0"/>
          <w:numId w:val="4"/>
        </w:num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3 Octobre pour les Alpes de Haute Provence ;</w:t>
      </w:r>
    </w:p>
    <w:p w:rsidR="00446D7C" w:rsidRPr="00EF0FFA" w:rsidRDefault="00446D7C" w:rsidP="00EF0FFA">
      <w:pPr>
        <w:pStyle w:val="Paragraphedeliste"/>
        <w:numPr>
          <w:ilvl w:val="0"/>
          <w:numId w:val="4"/>
        </w:numPr>
        <w:spacing w:before="100" w:beforeAutospacing="1" w:after="100" w:afterAutospacing="1" w:line="336" w:lineRule="atLeast"/>
        <w:rPr>
          <w:rFonts w:ascii="Book Antiqua" w:eastAsia="Times New Roman" w:hAnsi="Book Antiqua" w:cs="Times New Roman"/>
          <w:color w:val="737373"/>
          <w:lang w:eastAsia="fr-FR"/>
        </w:rPr>
      </w:pPr>
      <w:r w:rsidRPr="00EF0FFA">
        <w:rPr>
          <w:rFonts w:ascii="Book Antiqua" w:eastAsia="Times New Roman" w:hAnsi="Book Antiqua" w:cs="Times New Roman"/>
          <w:color w:val="737373"/>
          <w:lang w:eastAsia="fr-FR"/>
        </w:rPr>
        <w:t xml:space="preserve">4 Octobre pour les Hautes Alpes. </w:t>
      </w:r>
    </w:p>
    <w:p w:rsidR="00446D7C" w:rsidRPr="00EF0FFA" w:rsidRDefault="00446D7C" w:rsidP="00EF0FFA">
      <w:pPr>
        <w:spacing w:before="100" w:beforeAutospacing="1" w:after="100" w:afterAutospacing="1" w:line="336" w:lineRule="atLeast"/>
        <w:rPr>
          <w:rFonts w:ascii="Book Antiqua" w:eastAsia="Times New Roman" w:hAnsi="Book Antiqua" w:cs="Times New Roman"/>
          <w:b/>
          <w:color w:val="737373"/>
          <w:lang w:eastAsia="fr-FR"/>
        </w:rPr>
      </w:pPr>
      <w:r w:rsidRPr="00EF0FFA">
        <w:rPr>
          <w:rFonts w:ascii="Book Antiqua" w:eastAsia="Times New Roman" w:hAnsi="Book Antiqua" w:cs="Times New Roman"/>
          <w:b/>
          <w:color w:val="737373"/>
          <w:lang w:eastAsia="fr-FR"/>
        </w:rPr>
        <w:t xml:space="preserve">Les dates n’ont pas encore été déterminées pour les Alpes Maritimes et le Var. Il est à savoir qu’une réunion sera aussi consacrée à l’axe durancien en tant que tel. La date de cette réunion n’est également pas encore connue. </w:t>
      </w:r>
    </w:p>
    <w:p w:rsidR="00446D7C" w:rsidRPr="00EF0FFA" w:rsidRDefault="00446D7C" w:rsidP="00EF0FFA">
      <w:pPr>
        <w:spacing w:before="100" w:beforeAutospacing="1" w:after="100" w:afterAutospacing="1" w:line="336" w:lineRule="atLeast"/>
        <w:rPr>
          <w:rFonts w:ascii="Book Antiqua" w:eastAsia="Times New Roman" w:hAnsi="Book Antiqua" w:cs="Times New Roman"/>
          <w:b/>
          <w:color w:val="737373"/>
          <w:lang w:eastAsia="fr-FR"/>
        </w:rPr>
      </w:pPr>
      <w:r w:rsidRPr="00EF0FFA">
        <w:rPr>
          <w:rFonts w:ascii="Book Antiqua" w:eastAsia="Times New Roman" w:hAnsi="Book Antiqua" w:cs="Times New Roman"/>
          <w:b/>
          <w:color w:val="737373"/>
          <w:lang w:eastAsia="fr-FR"/>
        </w:rPr>
        <w:t>Enfin, les enjeux de cette actualisation du RNAOE sont de :</w:t>
      </w:r>
    </w:p>
    <w:p w:rsidR="00446D7C" w:rsidRPr="00EF0FFA" w:rsidRDefault="00077167" w:rsidP="00EF0FFA">
      <w:pPr>
        <w:pStyle w:val="Paragraphedeliste"/>
        <w:numPr>
          <w:ilvl w:val="0"/>
          <w:numId w:val="5"/>
        </w:numPr>
        <w:spacing w:before="100" w:beforeAutospacing="1" w:after="100" w:afterAutospacing="1" w:line="336" w:lineRule="atLeast"/>
        <w:rPr>
          <w:rFonts w:ascii="Book Antiqua" w:eastAsia="Times New Roman" w:hAnsi="Book Antiqua" w:cs="Times New Roman"/>
          <w:b/>
          <w:color w:val="737373"/>
          <w:lang w:eastAsia="fr-FR"/>
        </w:rPr>
      </w:pPr>
      <w:r w:rsidRPr="00EF0FFA">
        <w:rPr>
          <w:rFonts w:ascii="Book Antiqua" w:eastAsia="Times New Roman" w:hAnsi="Book Antiqua" w:cs="Times New Roman"/>
          <w:b/>
          <w:color w:val="737373"/>
          <w:lang w:eastAsia="fr-FR"/>
        </w:rPr>
        <w:t>Mettre en évidence si les pressions à traiter dans le PDM 2016-2021 ont été réduites depuis 2016 ;</w:t>
      </w:r>
    </w:p>
    <w:p w:rsidR="00077167" w:rsidRPr="00EF0FFA" w:rsidRDefault="00077167" w:rsidP="00EF0FFA">
      <w:pPr>
        <w:pStyle w:val="Paragraphedeliste"/>
        <w:numPr>
          <w:ilvl w:val="0"/>
          <w:numId w:val="5"/>
        </w:numPr>
        <w:spacing w:before="100" w:beforeAutospacing="1" w:after="100" w:afterAutospacing="1" w:line="336" w:lineRule="atLeast"/>
        <w:rPr>
          <w:rFonts w:ascii="Book Antiqua" w:eastAsia="Times New Roman" w:hAnsi="Book Antiqua" w:cs="Times New Roman"/>
          <w:b/>
          <w:color w:val="737373"/>
          <w:lang w:eastAsia="fr-FR"/>
        </w:rPr>
      </w:pPr>
      <w:r w:rsidRPr="00EF0FFA">
        <w:rPr>
          <w:rFonts w:ascii="Book Antiqua" w:eastAsia="Times New Roman" w:hAnsi="Book Antiqua" w:cs="Times New Roman"/>
          <w:b/>
          <w:color w:val="737373"/>
          <w:lang w:eastAsia="fr-FR"/>
        </w:rPr>
        <w:t>Evaluer les pressions qu’il reste à traiter pour les années à venir (fin du SDAGE 2016-2021 voire SDAGE 2022-2027) ;</w:t>
      </w:r>
    </w:p>
    <w:p w:rsidR="00293A6B" w:rsidRPr="00106B0A" w:rsidRDefault="00077167" w:rsidP="00106B0A">
      <w:pPr>
        <w:pStyle w:val="Paragraphedeliste"/>
        <w:numPr>
          <w:ilvl w:val="0"/>
          <w:numId w:val="5"/>
        </w:numPr>
        <w:spacing w:before="100" w:beforeAutospacing="1" w:after="100" w:afterAutospacing="1" w:line="336" w:lineRule="atLeast"/>
        <w:rPr>
          <w:rFonts w:ascii="Book Antiqua" w:eastAsia="Times New Roman" w:hAnsi="Book Antiqua" w:cs="Times New Roman"/>
          <w:b/>
          <w:color w:val="737373"/>
          <w:lang w:eastAsia="fr-FR"/>
        </w:rPr>
      </w:pPr>
      <w:r w:rsidRPr="00EF0FFA">
        <w:rPr>
          <w:rFonts w:ascii="Book Antiqua" w:eastAsia="Times New Roman" w:hAnsi="Book Antiqua" w:cs="Times New Roman"/>
          <w:b/>
          <w:color w:val="737373"/>
          <w:lang w:eastAsia="fr-FR"/>
        </w:rPr>
        <w:t>Apprécier les niveaux d’impacts des pressions proposés au regard des connaissances des acteurs des territoires, en prenant pleinement en compte leur expertise technique.</w:t>
      </w:r>
    </w:p>
    <w:sectPr w:rsidR="00293A6B" w:rsidRPr="00106B0A" w:rsidSect="00106B0A">
      <w:footerReference w:type="default" r:id="rId8"/>
      <w:pgSz w:w="11906" w:h="16838"/>
      <w:pgMar w:top="387" w:right="1133" w:bottom="8" w:left="1134"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94C" w:rsidRDefault="00A1294C" w:rsidP="00EF0FFA">
      <w:pPr>
        <w:spacing w:before="0"/>
      </w:pPr>
      <w:r>
        <w:separator/>
      </w:r>
    </w:p>
  </w:endnote>
  <w:endnote w:type="continuationSeparator" w:id="0">
    <w:p w:rsidR="00A1294C" w:rsidRDefault="00A1294C" w:rsidP="00EF0FF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9B6" w:rsidRDefault="005469B6">
    <w:pPr>
      <w:pStyle w:val="Pieddepage"/>
      <w:jc w:val="right"/>
      <w:rPr>
        <w:rFonts w:ascii="Book Antiqua" w:hAnsi="Book Antiqua"/>
        <w:sz w:val="16"/>
        <w:szCs w:val="16"/>
      </w:rPr>
    </w:pPr>
    <w:r w:rsidRPr="005469B6">
      <w:rPr>
        <w:rFonts w:ascii="Book Antiqua" w:hAnsi="Book Antiqua"/>
        <w:sz w:val="16"/>
        <w:szCs w:val="16"/>
      </w:rPr>
      <w:t xml:space="preserve"> CR Actualisation de l’évaluation du Risque de Non Atteinte des Objectifs Environnementaux (RNAOE) / ARFPPMA PACA / 16_07_2018</w:t>
    </w:r>
  </w:p>
  <w:p w:rsidR="005469B6" w:rsidRDefault="005469B6" w:rsidP="005469B6">
    <w:pPr>
      <w:pStyle w:val="Pieddepage"/>
      <w:jc w:val="center"/>
    </w:pPr>
    <w:r w:rsidRPr="005469B6">
      <w:rPr>
        <w:rFonts w:ascii="Book Antiqua" w:hAnsi="Book Antiqua"/>
        <w:sz w:val="16"/>
        <w:szCs w:val="16"/>
      </w:rPr>
      <w:t xml:space="preserve">       </w:t>
    </w:r>
    <w:sdt>
      <w:sdtPr>
        <w:id w:val="1236052425"/>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rsidR="00EF0FFA" w:rsidRDefault="00EF0F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94C" w:rsidRDefault="00A1294C" w:rsidP="00EF0FFA">
      <w:pPr>
        <w:spacing w:before="0"/>
      </w:pPr>
      <w:r>
        <w:separator/>
      </w:r>
    </w:p>
  </w:footnote>
  <w:footnote w:type="continuationSeparator" w:id="0">
    <w:p w:rsidR="00A1294C" w:rsidRDefault="00A1294C" w:rsidP="00EF0FF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3AA"/>
    <w:multiLevelType w:val="hybridMultilevel"/>
    <w:tmpl w:val="AB5ED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E738B2"/>
    <w:multiLevelType w:val="hybridMultilevel"/>
    <w:tmpl w:val="6D92E9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956C01"/>
    <w:multiLevelType w:val="multilevel"/>
    <w:tmpl w:val="747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657C3"/>
    <w:multiLevelType w:val="hybridMultilevel"/>
    <w:tmpl w:val="4D9CA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A02235"/>
    <w:multiLevelType w:val="hybridMultilevel"/>
    <w:tmpl w:val="13D65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4F4F05"/>
    <w:multiLevelType w:val="multilevel"/>
    <w:tmpl w:val="5686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62"/>
    <w:rsid w:val="00054610"/>
    <w:rsid w:val="00077167"/>
    <w:rsid w:val="00106B0A"/>
    <w:rsid w:val="00134C2C"/>
    <w:rsid w:val="00293A6B"/>
    <w:rsid w:val="003A7AF0"/>
    <w:rsid w:val="00446D7C"/>
    <w:rsid w:val="005469B6"/>
    <w:rsid w:val="006549FB"/>
    <w:rsid w:val="0073154F"/>
    <w:rsid w:val="008D7BFD"/>
    <w:rsid w:val="0092072E"/>
    <w:rsid w:val="009426C6"/>
    <w:rsid w:val="009431DD"/>
    <w:rsid w:val="009A240F"/>
    <w:rsid w:val="00A1294C"/>
    <w:rsid w:val="00B12A5D"/>
    <w:rsid w:val="00BD7C6E"/>
    <w:rsid w:val="00E00A62"/>
    <w:rsid w:val="00EF0FFA"/>
    <w:rsid w:val="00F2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6FABC"/>
  <w15:chartTrackingRefBased/>
  <w15:docId w15:val="{C6A451D6-84EA-4B43-BBDA-8288E123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4610"/>
    <w:pPr>
      <w:ind w:left="720"/>
      <w:contextualSpacing/>
    </w:pPr>
  </w:style>
  <w:style w:type="paragraph" w:styleId="En-tte">
    <w:name w:val="header"/>
    <w:basedOn w:val="Normal"/>
    <w:link w:val="En-tteCar"/>
    <w:uiPriority w:val="99"/>
    <w:unhideWhenUsed/>
    <w:rsid w:val="00EF0FFA"/>
    <w:pPr>
      <w:tabs>
        <w:tab w:val="center" w:pos="4536"/>
        <w:tab w:val="right" w:pos="9072"/>
      </w:tabs>
      <w:spacing w:before="0"/>
    </w:pPr>
  </w:style>
  <w:style w:type="character" w:customStyle="1" w:styleId="En-tteCar">
    <w:name w:val="En-tête Car"/>
    <w:basedOn w:val="Policepardfaut"/>
    <w:link w:val="En-tte"/>
    <w:uiPriority w:val="99"/>
    <w:rsid w:val="00EF0FFA"/>
  </w:style>
  <w:style w:type="paragraph" w:styleId="Pieddepage">
    <w:name w:val="footer"/>
    <w:basedOn w:val="Normal"/>
    <w:link w:val="PieddepageCar"/>
    <w:uiPriority w:val="99"/>
    <w:unhideWhenUsed/>
    <w:rsid w:val="00EF0FFA"/>
    <w:pPr>
      <w:tabs>
        <w:tab w:val="center" w:pos="4536"/>
        <w:tab w:val="right" w:pos="9072"/>
      </w:tabs>
      <w:spacing w:before="0"/>
    </w:pPr>
  </w:style>
  <w:style w:type="character" w:customStyle="1" w:styleId="PieddepageCar">
    <w:name w:val="Pied de page Car"/>
    <w:basedOn w:val="Policepardfaut"/>
    <w:link w:val="Pieddepage"/>
    <w:uiPriority w:val="99"/>
    <w:rsid w:val="00EF0FFA"/>
  </w:style>
  <w:style w:type="paragraph" w:styleId="Sansinterligne">
    <w:name w:val="No Spacing"/>
    <w:uiPriority w:val="1"/>
    <w:qFormat/>
    <w:rsid w:val="005469B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7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1136</Words>
  <Characters>6252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2018-07-16T14:21:00Z</dcterms:created>
  <dcterms:modified xsi:type="dcterms:W3CDTF">2018-07-16T16:41:00Z</dcterms:modified>
</cp:coreProperties>
</file>